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440112-2023-06677</w:t>
      </w:r>
    </w:p>
    <w:p>
      <w:pPr>
        <w:jc w:val="center"/>
      </w:pPr>
      <w:r>
        <w:rPr>
          <w:b/>
          <w:sz w:val="24"/>
        </w:rPr>
        <w:t>采购项目编号：</w:t>
      </w:r>
      <w:r>
        <w:rPr>
          <w:b/>
          <w:sz w:val="24"/>
        </w:rPr>
        <w:t>440112-2023-06677</w:t>
      </w:r>
    </w:p>
    <w:p>
      <w:pPr>
        <w:jc w:val="center"/>
      </w:pPr>
      <w:r>
        <w:rPr>
          <w:b/>
          <w:sz w:val="24"/>
        </w:rPr>
        <w:t>项目名称：</w:t>
      </w:r>
      <w:r>
        <w:rPr>
          <w:b/>
          <w:sz w:val="24"/>
        </w:rPr>
        <w:t>2023年尖峰岭、环山岭、雅居乐西侧山体公园综合维护管理服务项目</w:t>
      </w:r>
    </w:p>
    <w:p>
      <w:pPr>
        <w:jc w:val="center"/>
      </w:pPr>
      <w:r>
        <w:rPr>
          <w:b/>
          <w:sz w:val="24"/>
        </w:rPr>
        <w:t>采购人：</w:t>
      </w:r>
      <w:r>
        <w:rPr>
          <w:b/>
          <w:sz w:val="24"/>
        </w:rPr>
        <w:t>广州开发区绿化和公园管理中心（广州市黄埔区绿化和公园管理中心）</w:t>
      </w:r>
    </w:p>
    <w:p>
      <w:pPr>
        <w:jc w:val="center"/>
      </w:pPr>
      <w:r>
        <w:rPr>
          <w:b/>
          <w:sz w:val="24"/>
        </w:rPr>
        <w:t>采购代理机构：</w:t>
      </w:r>
      <w:r>
        <w:rPr>
          <w:b/>
          <w:sz w:val="24"/>
        </w:rPr>
        <w:t>广州市见智咨询有限公司</w:t>
      </w:r>
    </w:p>
    <w:p>
      <w:pPr>
        <w:ind w:firstLine="480"/>
      </w:pPr>
    </w:p>
    <w:p>
      <w:r>
        <w:rPr/>
        <w:t xml:space="preserve"> </w:t>
      </w:r>
    </w:p>
    <w:p/>
    <w:p>
      <w:pPr>
        <w:jc w:val="center"/>
      </w:pPr>
      <w:r>
        <w:rPr>
          <w:b/>
          <w:sz w:val="36"/>
        </w:rPr>
        <w:t>第一章投标邀请</w:t>
      </w:r>
    </w:p>
    <w:p>
      <w:pPr>
        <w:ind w:firstLine="480"/>
      </w:pPr>
      <w:r>
        <w:rPr/>
        <w:t>广州市见智咨询有限公司</w:t>
      </w:r>
      <w:r>
        <w:rPr/>
        <w:t>受</w:t>
      </w:r>
      <w:r>
        <w:rPr/>
        <w:t>广州开发区绿化和公园管理中心（广州市黄埔区绿化和公园管理中心）</w:t>
      </w:r>
      <w:r>
        <w:rPr/>
        <w:t>的委托，采用</w:t>
      </w:r>
      <w:r>
        <w:rPr/>
        <w:t>公开招标</w:t>
      </w:r>
      <w:r>
        <w:rPr/>
        <w:t>方式组织采购</w:t>
      </w:r>
      <w:r>
        <w:rPr/>
        <w:t>2023年尖峰岭、环山岭、雅居乐西侧山体公园综合维护管理服务项目</w:t>
      </w:r>
      <w:r>
        <w:rPr/>
        <w:t>。欢迎符合资格条件的国内供应商参加投标。</w:t>
      </w:r>
    </w:p>
    <w:p>
      <w:r>
        <w:rPr>
          <w:b/>
          <w:sz w:val="28"/>
        </w:rPr>
        <w:t>一.项目概述</w:t>
      </w:r>
    </w:p>
    <w:p>
      <w:r>
        <w:rPr>
          <w:b/>
          <w:sz w:val="24"/>
        </w:rPr>
        <w:t>1.名称与编号</w:t>
      </w:r>
    </w:p>
    <w:p>
      <w:pPr>
        <w:ind w:firstLine="480"/>
      </w:pPr>
      <w:r>
        <w:rPr/>
        <w:t>项目名称：</w:t>
      </w:r>
      <w:r>
        <w:rPr/>
        <w:t>2023年尖峰岭、环山岭、雅居乐西侧山体公园综合维护管理服务项目</w:t>
      </w:r>
    </w:p>
    <w:p>
      <w:pPr>
        <w:ind w:firstLine="480"/>
      </w:pPr>
      <w:r>
        <w:rPr/>
        <w:t>采购计划编号：</w:t>
      </w:r>
      <w:r>
        <w:rPr/>
        <w:t>440112-2023-06677</w:t>
      </w:r>
    </w:p>
    <w:p>
      <w:pPr>
        <w:ind w:firstLine="480"/>
      </w:pPr>
      <w:r>
        <w:rPr/>
        <w:t>采购项目编号：</w:t>
      </w:r>
      <w:r>
        <w:rPr/>
        <w:t>440112-2023-06677</w:t>
      </w:r>
    </w:p>
    <w:p>
      <w:pPr>
        <w:ind w:firstLine="480"/>
      </w:pPr>
      <w:r>
        <w:rPr/>
        <w:t>采购方式：</w:t>
      </w:r>
      <w:r>
        <w:rPr/>
        <w:t>公开招标</w:t>
      </w:r>
    </w:p>
    <w:p>
      <w:pPr>
        <w:ind w:firstLine="480"/>
      </w:pPr>
      <w:r>
        <w:rPr/>
        <w:t>预算金额：</w:t>
      </w:r>
      <w:r>
        <w:rPr/>
        <w:t>6,754,064.07</w:t>
      </w:r>
      <w:r>
        <w:rPr/>
        <w:t>元</w:t>
      </w:r>
    </w:p>
    <w:p>
      <w:r>
        <w:rPr>
          <w:b/>
          <w:sz w:val="24"/>
        </w:rPr>
        <w:t>2.项目内容及需求情况（采购项目技术规格、参数及要求）</w:t>
      </w:r>
    </w:p>
    <w:p>
      <w:pPr>
        <w:ind w:firstLine="480"/>
      </w:pPr>
    </w:p>
    <w:p/>
    <w:p>
      <w:r>
        <w:rPr/>
        <w:t>采购包1(2023年尖峰岭、环山岭、雅居乐西侧山体公园综合维护管理服务项目):</w:t>
      </w:r>
    </w:p>
    <w:p>
      <w:r>
        <w:rPr/>
        <w:t>采购包预算金额：6,754,064.07元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其他公共设施管理服务</w:t>
            </w:r>
          </w:p>
        </w:tc>
        <w:tc>
          <w:tcPr>
            <w:tcW w:type="dxa" w:w="2052"/>
          </w:tcPr>
          <w:p>
            <w:r>
              <w:rPr/>
              <w:t>2023年尖峰岭、环山岭、雅居乐西侧山体公园综合维护管理服务项目</w:t>
            </w:r>
          </w:p>
        </w:tc>
        <w:tc>
          <w:tcPr>
            <w:tcW w:type="dxa" w:w="977"/>
          </w:tcPr>
          <w:p>
            <w:r>
              <w:rPr/>
              <w:t>1.00(项)</w:t>
            </w:r>
          </w:p>
        </w:tc>
        <w:tc>
          <w:tcPr>
            <w:tcW w:type="dxa" w:w="977"/>
          </w:tcPr>
          <w:p>
            <w:r>
              <w:rPr/>
              <w:t>详见第二章</w:t>
            </w:r>
          </w:p>
        </w:tc>
        <w:tc>
          <w:tcPr>
            <w:tcW w:type="dxa" w:w="977"/>
          </w:tcPr>
          <w:p>
            <w:r>
              <w:rPr/>
              <w:t>6,754,064.07</w:t>
            </w:r>
          </w:p>
        </w:tc>
        <w:tc>
          <w:tcPr>
            <w:tcW w:type="dxa" w:w="977"/>
          </w:tcPr>
          <w:p>
            <w:r>
              <w:rPr/>
              <w:t>否</w:t>
            </w:r>
          </w:p>
        </w:tc>
      </w:tr>
    </w:tbl>
    <w:p/>
    <w:p>
      <w:r>
        <w:rPr/>
        <w:t>本采购包不接受联合体投标</w:t>
      </w:r>
    </w:p>
    <w:p/>
    <w:p>
      <w:r>
        <w:rPr/>
        <w:t>合同履行期限：服务期限为35个月26天，详细期限详见第二章采购需求“本项目服务期限”。</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执业许可证或身份证等相关证明）扫描件。分支机构投标的，须提供总公司（总所）和分支机构的营业执照（执业许可证）扫描件及总公司（总所）出具给分支机构的授权书。</w:t>
      </w:r>
    </w:p>
    <w:p/>
    <w:p>
      <w:r>
        <w:rPr/>
        <w:t>2）有依法缴纳税收和社会保障资金的良好记录：有依法缴纳税收和社会保障资金的良好记录，提供签署及盖章合格的投标函。</w:t>
      </w:r>
    </w:p>
    <w:p/>
    <w:p>
      <w:r>
        <w:rPr/>
        <w:t>3）具有良好的商业信誉和健全的财务会计制度：具有良好的商业信誉和健全的财务会计制度，提供签署及盖章合格的投标函。</w:t>
      </w:r>
    </w:p>
    <w:p/>
    <w:p>
      <w:r>
        <w:rPr/>
        <w:t>4）履行合同所必需的设备和专业技术能力：有履行合同所必需的设备和专业技术能力，提供签署及盖章合格的投标函。</w:t>
      </w:r>
    </w:p>
    <w:p/>
    <w:p>
      <w:r>
        <w:rPr/>
        <w:t>5）参加采购活动前3年内，在经营活动中没有重大违法记录：参加政府采购活动前3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
      <w:r>
        <w:rPr>
          <w:b/>
          <w:sz w:val="24"/>
        </w:rPr>
        <w:t>2.落实政府采购政策需满足的资格要求：</w:t>
      </w:r>
    </w:p>
    <w:p>
      <w:pPr>
        <w:ind w:firstLine="480"/>
      </w:pPr>
    </w:p>
    <w:p>
      <w:pPr>
        <w:jc w:val="left"/>
      </w:pPr>
    </w:p>
    <w:p>
      <w:r>
        <w:rPr/>
        <w:t>采购包1（2023年尖峰岭、环山岭、雅居乐西侧山体公园综合维护管理服务项目）：</w:t>
      </w:r>
      <w:r>
        <w:rPr/>
        <w:t>本项目属于专门面向中小微企业采购的项目。</w:t>
      </w:r>
    </w:p>
    <w:p/>
    <w:p>
      <w:r>
        <w:rPr>
          <w:b/>
          <w:sz w:val="24"/>
        </w:rPr>
        <w:t>3.本项目特定的资格要求：</w:t>
      </w:r>
    </w:p>
    <w:p>
      <w:pPr>
        <w:ind w:firstLine="480"/>
      </w:pPr>
    </w:p>
    <w:p/>
    <w:p>
      <w:r>
        <w:rPr/>
        <w:t>采购包1（2023年尖峰岭、环山岭、雅居乐西侧山体公园综合维护管理服务项目）：</w:t>
      </w:r>
    </w:p>
    <w:p/>
    <w:p>
      <w:r>
        <w:rPr/>
        <w:t>1)供应商未被列入“信用中国”网站(www.creditchina.gov.cn) “失信被执行人或重大税收违法失信主体或政府采购严重违法失信行为记录名单”；不处于中国政府采购网(www.ccgp.gov.cn)“政府采购严重违法失信行为信息记录”中的禁止参加政府采购活动期间。(以资格审查人员于投标 (响应)截止时间当天在“信用中国”网站(www.creditchina.gov.cn) 及中国政府采购网(http://www.ccgp.gov.cn/)查询结果为准，如相关失信记录已失效，供应商需提供相关证明资料。)</w:t>
      </w:r>
    </w:p>
    <w:p/>
    <w:p>
      <w:r>
        <w:rPr/>
        <w:t>2)供应商未存在任一级人民政府财政部门作出“禁止参加政府采购活动”行政处罚决定且处罚期限未届满的。（提供承诺函，格式自拟。）</w:t>
      </w:r>
    </w:p>
    <w:p/>
    <w:p>
      <w:r>
        <w:rPr/>
        <w:t>3)不得参与同一采购项目竞争的供应商：①单位负责人为同一人或者存在直接控股、管理关系的不同供应商，不得参加同一包组投标或者未划分包组的同一招标项目的政府采购活动。如同时参加，则评审时均作无效投标处理。②为采购项目提供整体设计、规范编制或者项目管理、监理、检测等服务的供应商，不得再参加该采购项目的其他采购活动。（提供签署及盖章合格的投标函。）</w:t>
      </w:r>
    </w:p>
    <w:p/>
    <w:p>
      <w:r>
        <w:rPr/>
        <w:t>4)本项目不接受联合体投标。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广州市见智咨询有限公司（http://www.gzsjz.cn/）</w:t>
      </w:r>
      <w:r>
        <w:rPr/>
        <w:t>。</w:t>
      </w:r>
    </w:p>
    <w:p>
      <w:r>
        <w:rPr>
          <w:b/>
          <w:sz w:val="28"/>
        </w:rPr>
        <w:t>六.本项目联系方式：</w:t>
      </w:r>
    </w:p>
    <w:p>
      <w:r>
        <w:rPr>
          <w:b/>
          <w:sz w:val="24"/>
        </w:rPr>
        <w:t>1.采购人信息</w:t>
      </w:r>
    </w:p>
    <w:p>
      <w:pPr>
        <w:ind w:firstLine="480"/>
      </w:pPr>
      <w:r>
        <w:rPr/>
        <w:t>名称：</w:t>
      </w:r>
      <w:r>
        <w:rPr/>
        <w:t>广州开发区绿化和公园管理中心（广州市黄埔区绿化和公园管理中心）</w:t>
      </w:r>
    </w:p>
    <w:p>
      <w:pPr>
        <w:ind w:firstLine="480"/>
      </w:pPr>
      <w:r>
        <w:rPr/>
        <w:t>地址：</w:t>
      </w:r>
      <w:r>
        <w:rPr/>
        <w:t>广州市黄埔区科学城科学大道162号创意大厦B3栋405、406</w:t>
      </w:r>
    </w:p>
    <w:p>
      <w:pPr>
        <w:ind w:firstLine="480"/>
      </w:pPr>
      <w:r>
        <w:rPr/>
        <w:t>联系方式：</w:t>
      </w:r>
      <w:r>
        <w:rPr/>
        <w:t>020-31607121</w:t>
      </w:r>
    </w:p>
    <w:p>
      <w:r>
        <w:rPr>
          <w:b/>
          <w:sz w:val="24"/>
        </w:rPr>
        <w:t>2.采购代理机构信息</w:t>
      </w:r>
    </w:p>
    <w:p>
      <w:pPr>
        <w:ind w:firstLine="480"/>
      </w:pPr>
      <w:r>
        <w:rPr/>
        <w:t>名称：</w:t>
      </w:r>
      <w:r>
        <w:rPr/>
        <w:t>广州市见智咨询有限公司</w:t>
      </w:r>
    </w:p>
    <w:p>
      <w:pPr>
        <w:ind w:firstLine="480"/>
      </w:pPr>
      <w:r>
        <w:rPr/>
        <w:t>地址：</w:t>
      </w:r>
      <w:r>
        <w:rPr/>
        <w:t>广东省广州市天河区广州市天河区晴旭街1号505房</w:t>
      </w:r>
    </w:p>
    <w:p>
      <w:pPr>
        <w:ind w:firstLine="480"/>
      </w:pPr>
      <w:r>
        <w:rPr/>
        <w:t>联系方式：</w:t>
      </w:r>
      <w:r>
        <w:rPr/>
        <w:t>020-85165617</w:t>
      </w:r>
    </w:p>
    <w:p>
      <w:r>
        <w:rPr>
          <w:b/>
          <w:sz w:val="24"/>
        </w:rPr>
        <w:t>3.项目联系方式</w:t>
      </w:r>
    </w:p>
    <w:p>
      <w:pPr>
        <w:ind w:firstLine="480"/>
      </w:pPr>
      <w:r>
        <w:rPr/>
        <w:t>项目联系人：</w:t>
      </w:r>
      <w:r>
        <w:rPr/>
        <w:t>周工</w:t>
      </w:r>
    </w:p>
    <w:p>
      <w:pPr>
        <w:ind w:firstLine="480"/>
      </w:pPr>
      <w:r>
        <w:rPr/>
        <w:t>电话：</w:t>
      </w:r>
      <w:r>
        <w:rPr/>
        <w:t>020-85165617</w:t>
      </w:r>
    </w:p>
    <w:p>
      <w:r>
        <w:rPr>
          <w:b/>
          <w:sz w:val="24"/>
        </w:rPr>
        <w:t>4.技术支持联系方式</w:t>
      </w:r>
    </w:p>
    <w:p>
      <w:pPr>
        <w:ind w:firstLine="480"/>
      </w:pPr>
      <w:r>
        <w:rPr/>
        <w:t>云平台联系方式：020-88696588</w:t>
      </w:r>
    </w:p>
    <w:p>
      <w:r>
        <w:rPr/>
        <w:t>采购代理机构：</w:t>
      </w:r>
      <w:r>
        <w:rPr/>
        <w:t>广州市见智咨询有限公司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4"/>
        </w:rPr>
        <w:t>项目属性：服务类</w:t>
      </w:r>
    </w:p>
    <w:p>
      <w:pPr>
        <w:ind w:firstLine="480"/>
        <w:jc w:val="both"/>
      </w:pPr>
      <w:r>
        <w:rPr>
          <w:sz w:val="24"/>
        </w:rPr>
        <w:t>项目类别：其他公共设施管理服务（C13990000）</w:t>
      </w:r>
    </w:p>
    <w:p>
      <w:pPr>
        <w:ind w:firstLine="480"/>
        <w:jc w:val="both"/>
      </w:pPr>
      <w:r>
        <w:rPr>
          <w:sz w:val="24"/>
        </w:rPr>
        <w:t>本项目</w:t>
      </w:r>
      <w:r>
        <w:rPr>
          <w:sz w:val="24"/>
        </w:rPr>
        <w:t>属于专门面</w:t>
      </w:r>
      <w:r>
        <w:rPr>
          <w:sz w:val="24"/>
        </w:rPr>
        <w:t>向中小微企业预留采购份额的项目。</w:t>
      </w:r>
    </w:p>
    <w:p>
      <w:pPr>
        <w:ind w:firstLine="480"/>
        <w:jc w:val="both"/>
      </w:pPr>
      <w:r>
        <w:rPr>
          <w:sz w:val="24"/>
        </w:rPr>
        <w:t>（一）本采购项目为2023年尖峰岭、环山岭、雅居乐西侧山体公园综合维护管理服务项目，确定一家中标供应商，为采购人提供尖峰岭公园、环山岭公园、雅居乐西侧山体公园综合维护管理服务。本项目服务内容包括尖峰岭公园、环山岭公园、雅居乐西侧山体公园绿化养护服务、保洁服务、除四害及白蚁防治服务等。</w:t>
      </w:r>
    </w:p>
    <w:p>
      <w:pPr>
        <w:ind w:firstLine="480"/>
        <w:jc w:val="both"/>
      </w:pPr>
      <w:r>
        <w:rPr>
          <w:sz w:val="24"/>
        </w:rPr>
        <w:t>（二）尖峰岭公园总面积约6.62万平方米，现绿化养护面积约57726.60平方米，预计增加1650平方米，共计59376.60平方米；现建筑及硬地面积约6803.75平方米；现有公厕1座。环山岭公园总面积约1.32万平方米，现绿化养护面积约9844.80平方米，预计增加750平方米，共计10594.80平方米；现建筑及硬地面积约2010.60平方米，预计增加500平方米，共计2510.60平方米；现暂无公厕。雅居乐西侧山体公园总面积约2.6万平方米，现绿化养护面积约17510平方米，预计增加1000平方米，共计18510平方米；现建筑及硬地面积约7406.12平方米；现有公厕2座。项目具体工作量详见项目服务清单（附件1），项目服务清单中的工作量为招标的大致数量，实际数量以中标后新旧服务单位、采购人及第三方单位共同核实为准。因公园规划、管理等原因，服务过程中会存在服务工作量的变化，服务费按照实际服务工作量进行结算。</w:t>
      </w:r>
    </w:p>
    <w:p>
      <w:pPr>
        <w:ind w:firstLine="482"/>
        <w:jc w:val="both"/>
      </w:pPr>
      <w:r>
        <w:rPr>
          <w:sz w:val="24"/>
        </w:rPr>
        <w:t>（三）本项目采购预算为6754064.07元（其中2023年度拟安排预算为2299787.52元，2024年度拟安排预算为2299787.52元，2025年度拟安排预算为2154489.03元）。</w:t>
      </w:r>
    </w:p>
    <w:p>
      <w:pPr>
        <w:ind w:firstLine="482"/>
        <w:jc w:val="both"/>
      </w:pPr>
      <w:r>
        <w:rPr>
          <w:sz w:val="24"/>
        </w:rPr>
        <w:t>（四）本项目服务期限</w:t>
      </w:r>
      <w:r>
        <w:rPr>
          <w:sz w:val="24"/>
        </w:rPr>
        <w:t>具体如下：</w:t>
      </w:r>
    </w:p>
    <w:p>
      <w:pPr>
        <w:ind w:firstLine="482"/>
        <w:jc w:val="both"/>
      </w:pPr>
      <w:r>
        <w:rPr>
          <w:b/>
          <w:sz w:val="24"/>
        </w:rPr>
        <w:t>1.</w:t>
      </w:r>
      <w:r>
        <w:rPr>
          <w:b/>
          <w:sz w:val="24"/>
        </w:rPr>
        <w:t>尖峰岭公园、环山岭公园：35个月（2024年5月1日至2027年3月31日）；</w:t>
      </w:r>
    </w:p>
    <w:p>
      <w:pPr>
        <w:ind w:firstLine="482"/>
        <w:jc w:val="both"/>
      </w:pPr>
      <w:r>
        <w:rPr>
          <w:b/>
          <w:sz w:val="24"/>
        </w:rPr>
        <w:t>2.</w:t>
      </w:r>
      <w:r>
        <w:rPr>
          <w:b/>
          <w:sz w:val="24"/>
        </w:rPr>
        <w:t>雅居乐西侧山体公园：35个月26天（2024年4月6日至2027年3月31日）。</w:t>
      </w:r>
    </w:p>
    <w:p>
      <w:pPr>
        <w:ind w:firstLine="482"/>
        <w:jc w:val="both"/>
      </w:pPr>
      <w:r>
        <w:rPr>
          <w:sz w:val="24"/>
        </w:rPr>
        <w:t>服务期内，合同一年一签。服务期间，采购人将按招、投标文件内容对中标供应商进行考核。如遇国家法律法规或上级政策变动而终止本项目，采购人将不承担任何责任。</w:t>
      </w:r>
      <w:r>
        <w:rPr>
          <w:sz w:val="24"/>
        </w:rPr>
        <w:t>经采购人通知后，本项目服务期限终止，服务费根据已提供服务的实际情况进行结算。</w:t>
      </w:r>
    </w:p>
    <w:p>
      <w:pPr>
        <w:ind w:firstLine="482"/>
        <w:jc w:val="both"/>
      </w:pPr>
      <w:r>
        <w:rPr>
          <w:sz w:val="24"/>
        </w:rPr>
        <w:t>（五）本项目按采购人服务工作内容及要求，采取包工包料包质量包安全文明作业的总价包干形式承包任务。投标人的投标报价应包含项目服务期限内的各项管理费、工具机械费、材料费、运输费、作业车辆燃油费、人员工资、加班费、突发性作业费、劳保费、福利费、保险费、风险金、税费、不可预见费和利润等全部费用，采购人不再额外支付调整。</w:t>
      </w:r>
    </w:p>
    <w:p>
      <w:pPr>
        <w:ind w:firstLine="480"/>
        <w:jc w:val="both"/>
      </w:pPr>
      <w:r>
        <w:rPr>
          <w:sz w:val="24"/>
        </w:rPr>
        <w:t>（六）本项目为公园综合维护管理服务项目，投标人必须对本项目整体投标，不得拆分。本次采购不接受联合投标的方式，不允许转包、分包。</w:t>
      </w:r>
    </w:p>
    <w:p/>
    <w:p>
      <w:pPr>
        <w:ind w:firstLine="480"/>
      </w:pPr>
    </w:p>
    <w:p/>
    <w:p>
      <w:r>
        <w:rPr/>
        <w:t>采购包1（2023年尖峰岭、环山岭、雅居乐西侧山体公园综合维护管理服务项目）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1.尖峰岭公园、环山岭公园：35个月（2024年5月1日至2027年3月31日）； 2.雅居乐西侧山体公园：35个月26天（2024年4月6日至2027年3月31日）。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1期：支付比例100%,本项目以银行转账方式支付。签订合同且中标供应商提交履约保函后，采购人实施分期支付，具体分期付款方式： （一）预付款：在合同签订生效以及具备实施条件后，采购人按照合同金额的30％支付预付款，预付款从进度款中一次性全额扣回。 （二）进度款： 1.中标供应商在每季度第一个月前10日，凭现场考勤表（经采购人代表审核确认）及每季度的工作总结等资料向采购人申请支付上季度服务费的90%，余下的10%费用在项目年度服务期满，经采购人现场验收通过后15日内一次性无息付清。如中标供应商提供的服务不足一个月时按日计算服务费（日服务费=年服务费÷365天）。 2.每季度服务费在支付前须经采购人现场考核评分后方可支付。服务评分考核产生扣分的，按每分100元扣减当月服务费，需提交经采购人与中标供应商双方盖章确认的扣罚通知书。 （三）采购人在收到中标供应商提供的等额正式完税发票及完整的请款资料后5个工作日内办理支付手续。 （四）本项目的经费由财政拨款，采用财政集中支付方式由区财政直接支付，如因特殊情况的影响，拨款未能及时到位，中标供应商不得以此为由拒不履行服务，否则采购人将按规定扣减当月服务费。</w:t>
            </w:r>
          </w:p>
        </w:tc>
      </w:tr>
      <w:tr>
        <w:tc>
          <w:tcPr>
            <w:tcW w:type="dxa" w:w="4153"/>
          </w:tcPr>
          <w:p>
            <w:r>
              <w:rPr/>
              <w:t>验收要求</w:t>
            </w:r>
          </w:p>
        </w:tc>
        <w:tc>
          <w:tcPr>
            <w:tcW w:type="dxa" w:w="4153"/>
          </w:tcPr>
          <w:p/>
          <w:p/>
          <w:p/>
          <w:p>
            <w:r>
              <w:rPr/>
              <w:t>1期：详见第二章采购需求“验收考核要求”。</w:t>
            </w:r>
          </w:p>
        </w:tc>
      </w:tr>
      <w:tr>
        <w:tc>
          <w:tcPr>
            <w:tcW w:type="dxa" w:w="4153"/>
          </w:tcPr>
          <w:p>
            <w:r>
              <w:rPr/>
              <w:t>履约保证金</w:t>
            </w:r>
          </w:p>
        </w:tc>
        <w:tc>
          <w:tcPr>
            <w:tcW w:type="dxa" w:w="4153"/>
          </w:tcPr>
          <w:p/>
          <w:p/>
          <w:p/>
          <w:p/>
          <w:p>
            <w:r>
              <w:rPr/>
              <w:t>收取比例：5%,说明：中标供应商在合同服务期开始前5个工作日内，一次性向采购人提交合同金额5%的见索即付履约保函作为履约担保，并将履约保函原件送交采购人备查和代为保管，保函有效期不得早于合同服务期届满之日起满六个月，保函在有效期届满后自动失效。若中标供应商无违约行为，在保函有效期届满后，中标供应商提出申请，采购人将履约保函原件退还中标供应商。对于因中标供应商原因提前解除合同的，或造成采购人受到较大损失的，或在服务期发现原投标材料有虚假证明，报经政府采购管理部门认定属实后依法进行处罚的，该履约保证金不予退还。  履约保证金可以以履约保函（保险）形式提供，目前"广东政府采购智慧云平台金融服务中心(https://gdgpo.czt.gd.gov.cn/zcdservice/zcd/guangdong/)已实现电子履约保函（保险）在线办理功能，有意愿供应商可自行办理提供。</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其他公共设施管理服务</w:t>
            </w:r>
          </w:p>
        </w:tc>
        <w:tc>
          <w:tcPr>
            <w:tcW w:type="dxa" w:w="933"/>
          </w:tcPr>
          <w:p>
            <w:pPr>
              <w:jc w:val="left"/>
            </w:pPr>
            <w:r>
              <w:rPr/>
              <w:t>2023年尖峰岭、环山岭、雅居乐西侧山体公园综合维护管理服务项目</w:t>
            </w:r>
          </w:p>
        </w:tc>
        <w:tc>
          <w:tcPr>
            <w:tcW w:type="dxa" w:w="933"/>
          </w:tcPr>
          <w:p>
            <w:pPr>
              <w:jc w:val="left"/>
            </w:pPr>
            <w:r>
              <w:rPr/>
              <w:t>项</w:t>
            </w:r>
          </w:p>
        </w:tc>
        <w:tc>
          <w:tcPr>
            <w:tcW w:type="dxa" w:w="933"/>
          </w:tcPr>
          <w:p>
            <w:pPr>
              <w:jc w:val="right"/>
            </w:pPr>
            <w:r>
              <w:rPr/>
              <w:t>1.00</w:t>
            </w:r>
          </w:p>
        </w:tc>
        <w:tc>
          <w:tcPr>
            <w:tcW w:type="dxa" w:w="933"/>
          </w:tcPr>
          <w:p>
            <w:pPr>
              <w:jc w:val="right"/>
            </w:pPr>
            <w:r>
              <w:rPr/>
              <w:t>6,754,064.07</w:t>
            </w:r>
          </w:p>
        </w:tc>
        <w:tc>
          <w:tcPr>
            <w:tcW w:type="dxa" w:w="933"/>
          </w:tcPr>
          <w:p>
            <w:pPr>
              <w:jc w:val="right"/>
            </w:pPr>
            <w:r>
              <w:rPr/>
              <w:t>6,754,064.07</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2023年尖峰岭、环山岭、雅居乐西侧山体公园综合维护管理服务项目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详见招标公告附件《2023年尖峰岭、环山岭、雅居乐西侧山体公园综合维护管理服务项目采购需求书》。</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1.采购代理机构：本项目是指广州市见智咨询有限公司，负责整个采购活动的组织，依法负责编制和发布招标文件，对招标文件拥有最终的解释权，不以任何身份出任评标委员会成员。</w:t>
      </w:r>
    </w:p>
    <w:p>
      <w:pPr>
        <w:ind w:firstLine="480"/>
      </w:pPr>
      <w:r>
        <w:rPr/>
        <w:t>2.采购人：本项目是指</w:t>
      </w:r>
      <w:r>
        <w:rPr/>
        <w:t>广州开发区绿化和公园管理中心（广州市黄埔区绿化和公园管理中心）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收取。采购机构代理服务收费标准：1.不论投标的结果如何，投标供应商应承担所有与编写和提交投标文件有关的费用。2.中标供应商须向采购代理机构按如下标准和规定缴纳招标代理服务费（不含税），其报价中须包含招标代理服务费： （1）以本项目中标通知书中的中标金额作为招标代理服务费的计算基数； （2）招标代理服务费参照《国家计委关于印发&lt;招标代理服务收费管理暂行办法&gt;的通知》（计价格〔2002〕1980号）、《国家发展改革委办公厅关于招标代理服务收费有关问题的通知》（发改办价格〔2003〕857号）及《国家发展改革委关于降低部分建设项目收费标准规范收费行为等有关问题的通知》（发改价格﹝2011﹞534号）文件规定的“服务类”计费标准，采用差额定率累进法进行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 二、履约评价。采购人负责对中标人的履约行为进行评价，采购人在合同备案后可通过广东政府采购智慧云平台-诚信管理-评价管理进行评价。评价结果会影响供应商的综合信用得分。 三、根据《广州市财政局中国人民银行广州分行营业部关于开展广州市政府采购合同线上融资业务的通知》（穗财采〔2020〕9号）的要求，为贯彻落实国务院支持和促进优化营商环境的决策部署，进一步发挥政府采购政策导向作用和中国人民银行征信中心应收账款融资服务平台（以下简称“中征应收账款融资服务平台”）的融资服务功能，推动政府采购合同线上融资，发挥政府采购扶持中小企业发展的政策功能，缓解中小企业融资难、融资贵的问题，帮助企业渡过难关，实现应收账款融资回款账户锁定，结合《关于开展省级政府采购合同融资工作的通知》（粤财采购〔2020〕6号）、《关于进一步深化小微企业金融服务的意见》（银发〔2018〕162号）规定，本项目欢迎参与政府采购活动并中标的中小企业，通过“中征应收账款融资服务平台”向银行线上申请融资服务。 四、投标文件的递交与开标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2）收件人：广州市见智咨询有限公司前台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中标（成交）通知书与发票送达，我司暂停中标（成交）通知书、服务费发票现场领取，中标（成交）通知书、我司将通过快递方式送达给中标（成交）人，服务费发票以邮件方式发送电子发票。 采购合同送达，我司提倡中标（成交）人优先采用邮寄方式将签订的合同及时送达我司。 1）收件地址：广州市天河区龙怡路117号银汇大厦5楼 2）收件人：广州市见智咨询有限公司前台 3）注明采购项目编号</w:t>
            </w:r>
          </w:p>
        </w:tc>
      </w:tr>
      <w:tr>
        <w:tc>
          <w:tcPr>
            <w:tcW w:type="dxa" w:w="1051"/>
          </w:tcPr>
          <w:p>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广州市见智咨询有限公司（http://www.gzsjz.cn/）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广州市见智咨询有限公司（http://www.gzsjz.cn/）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周小姐</w:t>
      </w:r>
    </w:p>
    <w:p>
      <w:pPr>
        <w:ind w:firstLine="480"/>
      </w:pPr>
      <w:r>
        <w:rPr/>
        <w:t>电话：</w:t>
      </w:r>
      <w:r>
        <w:rPr/>
        <w:t>020-85165617</w:t>
      </w:r>
    </w:p>
    <w:p>
      <w:pPr>
        <w:ind w:firstLine="480"/>
      </w:pPr>
      <w:r>
        <w:rPr/>
        <w:t>传真：</w:t>
      </w:r>
      <w:r>
        <w:rPr/>
        <w:t>/</w:t>
      </w:r>
    </w:p>
    <w:p>
      <w:pPr>
        <w:ind w:firstLine="480"/>
      </w:pPr>
      <w:r>
        <w:rPr/>
        <w:t>邮箱：</w:t>
      </w:r>
      <w:r>
        <w:rPr/>
        <w:t>gzjzzbbs@126.com</w:t>
      </w:r>
    </w:p>
    <w:p>
      <w:pPr>
        <w:ind w:firstLine="480"/>
      </w:pPr>
      <w:r>
        <w:rPr/>
        <w:t>地址：</w:t>
      </w:r>
      <w:r>
        <w:rPr/>
        <w:t>广州市天河区龙怡路117号507房</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(2023年尖峰岭、环山岭、雅居乐西侧山体公园综合维护管理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广州市见智咨询有限公司</w:t>
      </w:r>
      <w:r>
        <w:rPr/>
        <w:t>统一对外发布。</w:t>
      </w:r>
    </w:p>
    <w:p>
      <w:pPr>
        <w:ind w:firstLine="480"/>
      </w:pPr>
      <w:r>
        <w:rPr/>
        <w:t>（2）对</w:t>
      </w:r>
      <w:r>
        <w:rPr/>
        <w:t>广州市见智咨询有限公司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采购包1（2023年尖峰岭、环山岭、雅居乐西侧山体公园综合维护管理服务项目）：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采购包1（2023年尖峰岭、环山岭、雅居乐西侧山体公园综合维护管理服务项目）：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执业许可证或身份证等相关证明）扫描件。分支机构投标的，须提供总公司（总所）和分支机构的营业执照（执业许可证）扫描件及总公司（总所）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有依法缴纳税收和社会保障资金的良好记录，提供签署及盖章合格的投标函。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具有良好的商业信誉和健全的财务会计制度，提供签署及盖章合格的投标函。</w:t>
            </w:r>
          </w:p>
        </w:tc>
      </w:tr>
      <w:tr>
        <w:tc>
          <w:tcPr>
            <w:tcW w:type="dxa" w:w="890"/>
          </w:tcPr>
          <w:p>
            <w:r>
              <w:rPr/>
              <w:t>4</w:t>
            </w:r>
          </w:p>
        </w:tc>
        <w:tc>
          <w:tcPr>
            <w:tcW w:type="dxa" w:w="3178"/>
          </w:tcPr>
          <w:p>
            <w:r>
              <w:rPr/>
              <w:t>履行合同所必需的设备和专业技术能力</w:t>
            </w:r>
          </w:p>
        </w:tc>
        <w:tc>
          <w:tcPr>
            <w:tcW w:type="dxa" w:w="4238"/>
          </w:tcPr>
          <w:p>
            <w:r>
              <w:rPr/>
              <w:t>有履行合同所必需的设备和专业技术能力，提供签署及盖章合格的投标函。</w:t>
            </w:r>
          </w:p>
        </w:tc>
      </w:tr>
      <w:tr>
        <w:tc>
          <w:tcPr>
            <w:tcW w:type="dxa" w:w="890"/>
          </w:tcPr>
          <w:p>
            <w:r>
              <w:rPr/>
              <w:t>5</w:t>
            </w:r>
          </w:p>
        </w:tc>
        <w:tc>
          <w:tcPr>
            <w:tcW w:type="dxa" w:w="3178"/>
          </w:tcPr>
          <w:p>
            <w:r>
              <w:rPr/>
              <w:t>参加采购活动前3年内，在经营活动中没有重大违法记录</w:t>
            </w:r>
          </w:p>
        </w:tc>
        <w:tc>
          <w:tcPr>
            <w:tcW w:type="dxa" w:w="4238"/>
          </w:tcPr>
          <w:p>
            <w:r>
              <w:rPr/>
              <w:t>参加政府采购活动前3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r>
              <w:rPr/>
              <w:t>6</w:t>
            </w:r>
          </w:p>
        </w:tc>
        <w:tc>
          <w:tcPr>
            <w:tcW w:type="dxa" w:w="3178"/>
          </w:tcPr>
          <w:p>
            <w:r>
              <w:rPr/>
              <w:t>信用记录</w:t>
            </w:r>
          </w:p>
        </w:tc>
        <w:tc>
          <w:tcPr>
            <w:tcW w:type="dxa" w:w="4238"/>
          </w:tcPr>
          <w:p>
            <w:r>
              <w:rPr/>
              <w:t>供应商未被列入“信用中国”网站(www.creditchina.gov.cn) “失信被执行人或重大税收违法失信主体或政府采购严重违法失信行为记录名单”；不处于中国政府采购网(www.ccgp.gov.cn)“政府采购严重违法失信行为信息记录”中的禁止参加政府采购活动期间。(以资格审查人员于投标 (响应)截止时间当天在“信用中国”网站(www.creditchina.gov.cn) 及中国政府采购网(http://www.ccgp.gov.cn/)查询结果为准，如相关失信记录已失效，供应商需提供相关证明资料。)</w:t>
            </w:r>
          </w:p>
        </w:tc>
      </w:tr>
      <w:tr>
        <w:tc>
          <w:tcPr>
            <w:tcW w:type="dxa" w:w="890"/>
          </w:tcPr>
          <w:p>
            <w:r>
              <w:rPr/>
              <w:t>7</w:t>
            </w:r>
          </w:p>
        </w:tc>
        <w:tc>
          <w:tcPr>
            <w:tcW w:type="dxa" w:w="3178"/>
          </w:tcPr>
          <w:p>
            <w:r>
              <w:rPr/>
              <w:t>供应商未存在任一级人民政府财政部门作出“禁止参加政府采购活动”行政处罚决定且处罚期限未届满的</w:t>
            </w:r>
          </w:p>
        </w:tc>
        <w:tc>
          <w:tcPr>
            <w:tcW w:type="dxa" w:w="4238"/>
          </w:tcPr>
          <w:p>
            <w:r>
              <w:rPr/>
              <w:t>供应商未存在任一级人民政府财政部门作出“禁止参加政府采购活动”行政处罚决定且处罚期限未届满的。（提供承诺函，格式自拟。）</w:t>
            </w:r>
          </w:p>
        </w:tc>
      </w:tr>
      <w:tr>
        <w:tc>
          <w:tcPr>
            <w:tcW w:type="dxa" w:w="890"/>
          </w:tcPr>
          <w:p>
            <w:r>
              <w:rPr/>
              <w:t>8</w:t>
            </w:r>
          </w:p>
        </w:tc>
        <w:tc>
          <w:tcPr>
            <w:tcW w:type="dxa" w:w="3178"/>
          </w:tcPr>
          <w:p>
            <w:r>
              <w:rPr/>
              <w:t>供应商必须符合法律、行政法规规定的其他条件</w:t>
            </w:r>
          </w:p>
        </w:tc>
        <w:tc>
          <w:tcPr>
            <w:tcW w:type="dxa" w:w="4238"/>
          </w:tcPr>
          <w:p>
            <w:r>
              <w:rPr/>
              <w:t>不得参与同一采购项目竞争的供应商：①单位负责人为同一人或者存在直接控股、管理关系的不同供应商，不得参加同一包组投标或者未划分包组的同一招标项目的政府采购活动。如同时参加，则评审时均作无效投标处理。②为采购项目提供整体设计、规范编制或者项目管理、监理、检测等服务的供应商，不得再参加该采购项目的其他采购活动。（提供签署及盖章合格的投标函。）</w:t>
            </w:r>
          </w:p>
        </w:tc>
      </w:tr>
      <w:tr>
        <w:tc>
          <w:tcPr>
            <w:tcW w:type="dxa" w:w="890"/>
          </w:tcPr>
          <w:p>
            <w:r>
              <w:rPr/>
              <w:t>9</w:t>
            </w:r>
          </w:p>
        </w:tc>
        <w:tc>
          <w:tcPr>
            <w:tcW w:type="dxa" w:w="3178"/>
          </w:tcPr>
          <w:p>
            <w:r>
              <w:rPr/>
              <w:t>关于联合体投标</w:t>
            </w:r>
          </w:p>
        </w:tc>
        <w:tc>
          <w:tcPr>
            <w:tcW w:type="dxa" w:w="4238"/>
          </w:tcPr>
          <w:p>
            <w:r>
              <w:rPr/>
              <w:t>本项目不接受联合体投标。</w:t>
            </w:r>
          </w:p>
        </w:tc>
      </w:tr>
      <w:tr>
        <w:tc>
          <w:tcPr>
            <w:tcW w:type="dxa" w:w="890"/>
          </w:tcPr>
          <w:p>
            <w:r>
              <w:rPr/>
              <w:t>10</w:t>
            </w:r>
          </w:p>
        </w:tc>
        <w:tc>
          <w:tcPr>
            <w:tcW w:type="dxa" w:w="3178"/>
          </w:tcPr>
          <w:p>
            <w:r>
              <w:rPr/>
              <w:t>本采购包专门面向中小企业采购</w:t>
            </w:r>
          </w:p>
        </w:tc>
        <w:tc>
          <w:tcPr>
            <w:tcW w:type="dxa" w:w="4238"/>
          </w:tcPr>
          <w:p>
            <w:r>
              <w:rPr/>
              <w:t>本项目属于专门面向中小微企业采购的项目。</w:t>
            </w:r>
          </w:p>
        </w:tc>
      </w:tr>
    </w:tbl>
    <w:p/>
    <w:p>
      <w:pPr>
        <w:ind w:firstLine="480"/>
      </w:pPr>
      <w:r>
        <w:rPr/>
        <w:t>表二符合性审查表：</w:t>
      </w:r>
    </w:p>
    <w:p>
      <w:pPr>
        <w:ind w:firstLine="480"/>
      </w:pPr>
    </w:p>
    <w:p/>
    <w:p>
      <w:r>
        <w:rPr/>
        <w:t>采购包1（2023年尖峰岭、环山岭、雅居乐西侧山体公园综合维护管理服务项目）：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投标有效期不少于招标文件中载明的投标有效期。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投标文件按照招标文件规定要求签署、盖章，包含：①投标函；②法定代表人证明书或法定代表人授权书；③开标一览表；④投标报价明细表。</w:t>
            </w:r>
          </w:p>
        </w:tc>
      </w:tr>
      <w:tr>
        <w:tc>
          <w:tcPr>
            <w:tcW w:type="dxa" w:w="890"/>
          </w:tcPr>
          <w:p>
            <w:r>
              <w:rPr/>
              <w:t>3</w:t>
            </w:r>
          </w:p>
        </w:tc>
        <w:tc>
          <w:tcPr>
            <w:tcW w:type="dxa" w:w="3178"/>
          </w:tcPr>
          <w:p>
            <w:r>
              <w:rPr/>
              <w:t>投标报价</w:t>
            </w:r>
          </w:p>
        </w:tc>
        <w:tc>
          <w:tcPr>
            <w:tcW w:type="dxa" w:w="4238"/>
          </w:tcPr>
          <w:p>
            <w:r>
              <w:rPr/>
              <w:t>投标报价确定且不高于采购预算金额，符合招标文件要求。</w:t>
            </w:r>
          </w:p>
        </w:tc>
      </w:tr>
      <w:tr>
        <w:tc>
          <w:tcPr>
            <w:tcW w:type="dxa" w:w="890"/>
          </w:tcPr>
          <w:p>
            <w:r>
              <w:rPr/>
              <w:t>4</w:t>
            </w:r>
          </w:p>
        </w:tc>
        <w:tc>
          <w:tcPr>
            <w:tcW w:type="dxa" w:w="3178"/>
          </w:tcPr>
          <w:p>
            <w:r>
              <w:rPr/>
              <w:t>标注“★”的条款的满足情况</w:t>
            </w:r>
          </w:p>
        </w:tc>
        <w:tc>
          <w:tcPr>
            <w:tcW w:type="dxa" w:w="4238"/>
          </w:tcPr>
          <w:p>
            <w:r>
              <w:rPr/>
              <w:t>完全满足招标文件中标注“★”的条款，无负偏离。</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采购包1(2023年尖峰岭、环山岭、雅居乐西侧山体公园综合维护管理服务项目):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技术部分50.0分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总体服务方案A (2.0分)</w:t>
            </w:r>
          </w:p>
        </w:tc>
        <w:tc>
          <w:tcPr>
            <w:tcW w:type="dxa" w:w="5076"/>
          </w:tcPr>
          <w:p>
            <w:pPr>
              <w:jc w:val="left"/>
            </w:pPr>
            <w:r>
              <w:rPr/>
              <w:t>能提供总体服务方案，得0.5分，不提供不得分。总体服务方案包含服务模式，得0.5分；包含服务亮点，得0.5分；包含项目管理重难点分析及应对技术措施，得0.5分。</w:t>
            </w:r>
          </w:p>
        </w:tc>
      </w:tr>
      <w:tr>
        <w:tc>
          <w:tcPr>
            <w:tcW w:type="dxa" w:w="922"/>
            <w:gridSpan w:val="2"/>
            <w:vMerge/>
          </w:tcPr>
          <w:p/>
        </w:tc>
        <w:tc>
          <w:tcPr>
            <w:tcW w:type="dxa" w:w="2307"/>
          </w:tcPr>
          <w:p>
            <w:pPr>
              <w:jc w:val="left"/>
            </w:pPr>
            <w:r>
              <w:rPr/>
              <w:t>总体服务方案B (6.0分)</w:t>
            </w:r>
          </w:p>
        </w:tc>
        <w:tc>
          <w:tcPr>
            <w:tcW w:type="dxa" w:w="5076"/>
          </w:tcPr>
          <w:p>
            <w:pPr>
              <w:jc w:val="left"/>
            </w:pPr>
            <w:r>
              <w:rPr/>
              <w:t>针对本项目采购需求服务内容，投标人提供的总体服务方案服务模式合理可行、项目管理重难点分析到位、应对技术措施有针对性、服务亮点多，能优于采购需求的，得6分；能满足采购需求的，得3分；不能满足采购需求的，不得分。</w:t>
            </w:r>
          </w:p>
        </w:tc>
      </w:tr>
      <w:tr>
        <w:tc>
          <w:tcPr>
            <w:tcW w:type="dxa" w:w="922"/>
            <w:gridSpan w:val="2"/>
            <w:vMerge/>
          </w:tcPr>
          <w:p/>
        </w:tc>
        <w:tc>
          <w:tcPr>
            <w:tcW w:type="dxa" w:w="2307"/>
          </w:tcPr>
          <w:p>
            <w:pPr>
              <w:jc w:val="left"/>
            </w:pPr>
            <w:r>
              <w:rPr/>
              <w:t>服务工作目标及服务方案A (2.0分)</w:t>
            </w:r>
          </w:p>
        </w:tc>
        <w:tc>
          <w:tcPr>
            <w:tcW w:type="dxa" w:w="5076"/>
          </w:tcPr>
          <w:p>
            <w:pPr>
              <w:jc w:val="left"/>
            </w:pPr>
            <w:r>
              <w:rPr/>
              <w:t>能提供服务工作目标及服务方案，得1分，不提供不得分。服务工作目标及服务方案能同时包含绿化养护服务工作目标及服务方案、卫生保洁服务工作目标及服务方案、除四害服务工作目标及服务方案、白蚁防治服务工作目标及服务方案，得1分。</w:t>
            </w:r>
          </w:p>
        </w:tc>
      </w:tr>
      <w:tr>
        <w:tc>
          <w:tcPr>
            <w:tcW w:type="dxa" w:w="922"/>
            <w:gridSpan w:val="2"/>
            <w:vMerge/>
          </w:tcPr>
          <w:p/>
        </w:tc>
        <w:tc>
          <w:tcPr>
            <w:tcW w:type="dxa" w:w="2307"/>
          </w:tcPr>
          <w:p>
            <w:pPr>
              <w:jc w:val="left"/>
            </w:pPr>
            <w:r>
              <w:rPr/>
              <w:t>服务工作目标及服务方案B (12.0分)</w:t>
            </w:r>
          </w:p>
        </w:tc>
        <w:tc>
          <w:tcPr>
            <w:tcW w:type="dxa" w:w="5076"/>
          </w:tcPr>
          <w:p>
            <w:pPr>
              <w:jc w:val="left"/>
            </w:pPr>
            <w:r>
              <w:rPr/>
              <w:t>针对本项目采购需求服务内容，投标人提供的服务工作目标及服务方案绿化养护服务工作目标清晰明确、服务方案合理可行，能优于采购需求的，得3分；能满足采购需求的，得1.5分；不能满足采购需求的，不得分。卫生保洁服务工作目标清晰明确、服务方案合理可行，能优于采购需求的，得3分；能满足采购需求的，得1.5分；不能满足采购需求的，不得分。除四害服务工作目标清晰明确、服务方案合理可行，能优于采购需求的，得3分；能满足采购需求的，得1.5分；不能满足采购需求的，不得分。白蚁防治服务工作目标清晰明确、服务方案合理可行，能优于采购需求的，得3分；能满足采购需求的，得1.5分；不能满足采购需求的，不得分。</w:t>
            </w:r>
          </w:p>
        </w:tc>
      </w:tr>
      <w:tr>
        <w:tc>
          <w:tcPr>
            <w:tcW w:type="dxa" w:w="922"/>
            <w:gridSpan w:val="2"/>
            <w:vMerge/>
          </w:tcPr>
          <w:p/>
        </w:tc>
        <w:tc>
          <w:tcPr>
            <w:tcW w:type="dxa" w:w="2307"/>
          </w:tcPr>
          <w:p>
            <w:pPr>
              <w:jc w:val="left"/>
            </w:pPr>
            <w:r>
              <w:rPr/>
              <w:t>机构设立、运作流程、管理计划A  (2.0分)</w:t>
            </w:r>
          </w:p>
        </w:tc>
        <w:tc>
          <w:tcPr>
            <w:tcW w:type="dxa" w:w="5076"/>
          </w:tcPr>
          <w:p>
            <w:pPr>
              <w:jc w:val="left"/>
            </w:pPr>
            <w:r>
              <w:rPr/>
              <w:t>能提供服务组织机构架构、运作流程、管理计划，得1分，不提供不得分。组织机构架构、运作流程、管理计划包含组织机构人员岗位职责及分工、项目运作具体模式及各阶段运作流程、管理整体计划及管理流程和节点，得1分。</w:t>
            </w:r>
          </w:p>
        </w:tc>
      </w:tr>
      <w:tr>
        <w:tc>
          <w:tcPr>
            <w:tcW w:type="dxa" w:w="922"/>
            <w:gridSpan w:val="2"/>
            <w:vMerge/>
          </w:tcPr>
          <w:p/>
        </w:tc>
        <w:tc>
          <w:tcPr>
            <w:tcW w:type="dxa" w:w="2307"/>
          </w:tcPr>
          <w:p>
            <w:pPr>
              <w:jc w:val="left"/>
            </w:pPr>
            <w:r>
              <w:rPr/>
              <w:t>机构设立、运作流程、管理计划B  (6.0分)</w:t>
            </w:r>
          </w:p>
        </w:tc>
        <w:tc>
          <w:tcPr>
            <w:tcW w:type="dxa" w:w="5076"/>
          </w:tcPr>
          <w:p>
            <w:pPr>
              <w:jc w:val="left"/>
            </w:pPr>
            <w:r>
              <w:rPr/>
              <w:t>针对本项目采购需求服务内容，投标人提供的组织机构架构、运作流程、管理计划组织机构人员岗位职责及分工清晰明确、项目运作具体模式及各阶段运作流程合理可行、管理整体计划及管理流程和节点具体完善，能优于采购需求的，得6分；能满足采购需求的，得3分；不能满足采购需求的，不得分。</w:t>
            </w:r>
          </w:p>
        </w:tc>
      </w:tr>
      <w:tr>
        <w:tc>
          <w:tcPr>
            <w:tcW w:type="dxa" w:w="922"/>
            <w:gridSpan w:val="2"/>
            <w:vMerge/>
          </w:tcPr>
          <w:p/>
        </w:tc>
        <w:tc>
          <w:tcPr>
            <w:tcW w:type="dxa" w:w="2307"/>
          </w:tcPr>
          <w:p>
            <w:pPr>
              <w:jc w:val="left"/>
            </w:pPr>
            <w:r>
              <w:rPr/>
              <w:t>质量保证体系及措施A (2.0分)</w:t>
            </w:r>
          </w:p>
        </w:tc>
        <w:tc>
          <w:tcPr>
            <w:tcW w:type="dxa" w:w="5076"/>
          </w:tcPr>
          <w:p>
            <w:pPr>
              <w:jc w:val="left"/>
            </w:pPr>
            <w:r>
              <w:rPr/>
              <w:t>能提供质量保证体系及措施，得1分，不提供不得分。质量保证体系及措施包含质量管理目标、质量管理制度，得0.5分；包含质量保证措施、质量控制指标内容，得0.5分。</w:t>
            </w:r>
          </w:p>
        </w:tc>
      </w:tr>
      <w:tr>
        <w:tc>
          <w:tcPr>
            <w:tcW w:type="dxa" w:w="922"/>
            <w:gridSpan w:val="2"/>
            <w:vMerge/>
          </w:tcPr>
          <w:p/>
        </w:tc>
        <w:tc>
          <w:tcPr>
            <w:tcW w:type="dxa" w:w="2307"/>
          </w:tcPr>
          <w:p>
            <w:pPr>
              <w:jc w:val="left"/>
            </w:pPr>
            <w:r>
              <w:rPr/>
              <w:t>质量保证体系及措施B (6.0分)</w:t>
            </w:r>
          </w:p>
        </w:tc>
        <w:tc>
          <w:tcPr>
            <w:tcW w:type="dxa" w:w="5076"/>
          </w:tcPr>
          <w:p>
            <w:pPr>
              <w:jc w:val="left"/>
            </w:pPr>
            <w:r>
              <w:rPr/>
              <w:t>针对本项目采购需求服务内容，投标人提供的质量保证体系及措施质量管理目标清晰明确、质量管理制度合理可行、质量保证措施有针对性、质量控制指标内容明确，能优于采购需求的，得6分；能满足采购需求的，得3分；不能满足采购需求的，不得分。</w:t>
            </w:r>
          </w:p>
        </w:tc>
      </w:tr>
      <w:tr>
        <w:tc>
          <w:tcPr>
            <w:tcW w:type="dxa" w:w="922"/>
            <w:gridSpan w:val="2"/>
            <w:vMerge/>
          </w:tcPr>
          <w:p/>
        </w:tc>
        <w:tc>
          <w:tcPr>
            <w:tcW w:type="dxa" w:w="2307"/>
          </w:tcPr>
          <w:p>
            <w:pPr>
              <w:jc w:val="left"/>
            </w:pPr>
            <w:r>
              <w:rPr/>
              <w:t>安全管理及应急预案A (2.0分)</w:t>
            </w:r>
          </w:p>
        </w:tc>
        <w:tc>
          <w:tcPr>
            <w:tcW w:type="dxa" w:w="5076"/>
          </w:tcPr>
          <w:p>
            <w:pPr>
              <w:jc w:val="left"/>
            </w:pPr>
            <w:r>
              <w:rPr/>
              <w:t>能提供安全管理方案及应急预案，得1分，不提供不得分。安全管理方案及应急预案包含安全管理制度及安全防护措施，得0.5分；包含各类突发事件（安全责任事故、意外伤亡事故、群体性事件等）及自然灾害等的应急人员和设备调配、应急处置措施，得0.5分。</w:t>
            </w:r>
          </w:p>
        </w:tc>
      </w:tr>
      <w:tr>
        <w:tc>
          <w:tcPr>
            <w:tcW w:type="dxa" w:w="922"/>
            <w:gridSpan w:val="2"/>
            <w:vMerge/>
          </w:tcPr>
          <w:p/>
        </w:tc>
        <w:tc>
          <w:tcPr>
            <w:tcW w:type="dxa" w:w="2307"/>
          </w:tcPr>
          <w:p>
            <w:pPr>
              <w:jc w:val="left"/>
            </w:pPr>
            <w:r>
              <w:rPr/>
              <w:t>安全管理及应急预案B (4.0分)</w:t>
            </w:r>
          </w:p>
        </w:tc>
        <w:tc>
          <w:tcPr>
            <w:tcW w:type="dxa" w:w="5076"/>
          </w:tcPr>
          <w:p>
            <w:pPr>
              <w:jc w:val="left"/>
            </w:pPr>
            <w:r>
              <w:rPr/>
              <w:t>针对本项目采购需求服务内容，投标人提供的安全管理及应急预案安全管理制度具体完善、安全防护措施合理可行、各类突发事件及自然灾害等的应急人员和设备调配合理、应急处置措施有针对性，能优于采购需求的，得4分；能满足采购需求的，得2分；不能满足采购需求的，不得分。</w:t>
            </w:r>
          </w:p>
        </w:tc>
      </w:tr>
      <w:tr>
        <w:tc>
          <w:tcPr>
            <w:tcW w:type="dxa" w:w="922"/>
            <w:gridSpan w:val="2"/>
            <w:vMerge/>
          </w:tcPr>
          <w:p/>
        </w:tc>
        <w:tc>
          <w:tcPr>
            <w:tcW w:type="dxa" w:w="2307"/>
          </w:tcPr>
          <w:p>
            <w:pPr>
              <w:jc w:val="left"/>
            </w:pPr>
            <w:r>
              <w:rPr/>
              <w:t>服务人员培训及管理方案A (2.0分)</w:t>
            </w:r>
          </w:p>
        </w:tc>
        <w:tc>
          <w:tcPr>
            <w:tcW w:type="dxa" w:w="5076"/>
          </w:tcPr>
          <w:p>
            <w:pPr>
              <w:jc w:val="left"/>
            </w:pPr>
            <w:r>
              <w:rPr/>
              <w:t>能提供服务人员培训及管理方案，得1分，不提供不得分。服务人员培训及管理方案包含培训目标、培训方式、培训内容、培训成果的评估与反馈机制，得0.5分；包含入职指引、考勤、请假、人事异动、员工行为规范、奖惩规定、考核机制，得0.5分。</w:t>
            </w:r>
          </w:p>
        </w:tc>
      </w:tr>
      <w:tr>
        <w:tc>
          <w:tcPr>
            <w:tcW w:type="dxa" w:w="922"/>
            <w:gridSpan w:val="2"/>
            <w:vMerge/>
          </w:tcPr>
          <w:p/>
        </w:tc>
        <w:tc>
          <w:tcPr>
            <w:tcW w:type="dxa" w:w="2307"/>
          </w:tcPr>
          <w:p>
            <w:pPr>
              <w:jc w:val="left"/>
            </w:pPr>
            <w:r>
              <w:rPr/>
              <w:t>服务人员培训及管理方案B (4.0分)</w:t>
            </w:r>
          </w:p>
        </w:tc>
        <w:tc>
          <w:tcPr>
            <w:tcW w:type="dxa" w:w="5076"/>
          </w:tcPr>
          <w:p>
            <w:pPr>
              <w:jc w:val="left"/>
            </w:pPr>
            <w:r>
              <w:rPr/>
              <w:t>针对本项目采购需求服务内容，投标人提供的服务人员培训及管理方案具体可行，符合本项目服务要求及特点，能优于采购需求的，得4分；能满足采购需求的，得2分；不能满足采购需求的，不得分。</w:t>
            </w:r>
          </w:p>
        </w:tc>
      </w:tr>
      <w:tr>
        <w:tc>
          <w:tcPr>
            <w:tcW w:type="dxa" w:w="922"/>
            <w:gridSpan w:val="2"/>
            <w:vMerge w:val="restart"/>
          </w:tcPr>
          <w:p>
            <w:pPr>
              <w:jc w:val="center"/>
            </w:pPr>
            <w:r>
              <w:rPr/>
              <w:t>商务部分</w:t>
            </w:r>
          </w:p>
        </w:tc>
        <w:tc>
          <w:tcPr>
            <w:tcW w:type="dxa" w:w="2307"/>
          </w:tcPr>
          <w:p>
            <w:pPr>
              <w:jc w:val="left"/>
            </w:pPr>
            <w:r>
              <w:rPr/>
              <w:t>类似项目经验 (10.0分)</w:t>
            </w:r>
          </w:p>
        </w:tc>
        <w:tc>
          <w:tcPr>
            <w:tcW w:type="dxa" w:w="5076"/>
          </w:tcPr>
          <w:p>
            <w:pPr>
              <w:jc w:val="left"/>
            </w:pPr>
            <w:r>
              <w:rPr/>
              <w:t>2020年1月1日至今，投标人承接过类似项目，每提供一个类似项目业绩得2分，最高得10分。  注：1.类似项目是指与本次招标采购内容类似，服务内容至少需包含绿化养护（绿化管理）类的项目； 2.需提供合同关键页（包括签订合同双方的单位名称、项目名称、服务内容、项目金额和签订合同双方的落款盖章、签订日期的关键页）扫描件；依据提供的合同情况进行评审，时间以合同签订时间为准。请投标人严格按照要求提交相关证明材料，否则有可能影响评审结果。不提供或提供的内容不符合均不得分。【分支机构投标的，总公司（总所）业绩可纳入评审。】</w:t>
            </w:r>
          </w:p>
        </w:tc>
      </w:tr>
      <w:tr>
        <w:tc>
          <w:tcPr>
            <w:tcW w:type="dxa" w:w="922"/>
            <w:gridSpan w:val="2"/>
            <w:vMerge/>
          </w:tcPr>
          <w:p/>
        </w:tc>
        <w:tc>
          <w:tcPr>
            <w:tcW w:type="dxa" w:w="2307"/>
          </w:tcPr>
          <w:p>
            <w:pPr>
              <w:jc w:val="left"/>
            </w:pPr>
            <w:r>
              <w:rPr/>
              <w:t>项目负责人、驻场主管 (16.0分)</w:t>
            </w:r>
          </w:p>
        </w:tc>
        <w:tc>
          <w:tcPr>
            <w:tcW w:type="dxa" w:w="5076"/>
          </w:tcPr>
          <w:p>
            <w:pPr>
              <w:jc w:val="left"/>
            </w:pPr>
            <w:r>
              <w:rPr/>
              <w:t>拟投入本项目的项目负责人、驻场主管情况：   1.项目负责人： （1）具有大学本科或以上学历，得2分； （2）具有园林相关专业高级或以上技术职称，得4分； （3）具有5年或以上公园管理经验，得3分； 本小项最高得9分。  2.驻场主管： （1）具有大学专科或以上学历，得1分； （2）具有园林相关专业中级或以上技术职称，得3分； （3）具有5年或以上现场管理经验，得3分； 本小项最高得7分。  注：1.项目负责人和驻场主管不得为同一人。需提供以上人员的身份证、学历证书、职称证扫描件及在投标人单位服务的外部证明材料扫描件，如投标截止日之前六个月以内任意月份的代缴个税税单或参加社会保险的《投保单》或《社会保险参保人员证明》等；  2.相关工作经验证明材料需同时提供投标人出具的声明文件（声明内容应包含该人员从事对应工作内容的起止时间、所负责的工作内容及工作累加时间，格式自拟）及5年或以上的参加社会保险的《投保单》或《社会保险参保人员证明》或从业单位代缴个人所得税税单或劳动合同或既往类似项目工作经历证明（如工资发放表、工作评价表、聘书等相关材料）扫描件，不同从业单位的劳动年限可累计； 3.以上证明材料不提供或提供的内容不符合或提供的证明材料不齐全均不得分。</w:t>
            </w:r>
          </w:p>
        </w:tc>
      </w:tr>
      <w:tr>
        <w:tc>
          <w:tcPr>
            <w:tcW w:type="dxa" w:w="922"/>
            <w:gridSpan w:val="2"/>
            <w:vMerge/>
          </w:tcPr>
          <w:p/>
        </w:tc>
        <w:tc>
          <w:tcPr>
            <w:tcW w:type="dxa" w:w="2307"/>
          </w:tcPr>
          <w:p>
            <w:pPr>
              <w:jc w:val="left"/>
            </w:pPr>
            <w:r>
              <w:rPr/>
              <w:t>其他人员（项目负责人、驻场主管除外） (9.0分)</w:t>
            </w:r>
          </w:p>
        </w:tc>
        <w:tc>
          <w:tcPr>
            <w:tcW w:type="dxa" w:w="5076"/>
          </w:tcPr>
          <w:p>
            <w:pPr>
              <w:jc w:val="left"/>
            </w:pPr>
            <w:r>
              <w:rPr/>
              <w:t>拟投入本项目的其他人员（项目负责人、驻场主管除外）情况： 1.绿化养护作业人员：每提供1名中级或以上绿化工，得1分，最高得2分；  每提供1名中级或以上花卉工，得1分，最高得2分；每提供1名中级或以上植保工，得1分，最高得2分；每提供1名土壤检测（或土壤普查）人员，得1分，最高得1分；本小项最高得7分。 2.除四害作业人员：每提供1名中级或以上有害生物防制相关管理人员，得1分，最高得1分；本小项最高得1分。 3.白蚁防治作业人员：每提供1名中级或以上白蚁防治或有害生物防制相关管理人员，得1分，最高得1分；本小项最高得1分。 注：需同时提供以上人员的身份证、资质证明（资格证或上岗证或培训合格证等）材料扫描件及在投标人单位服务的外部证明材料扫描件，如投标截止日之前六个月以内任意月份的代缴个税税单或参加社会保险的《投保单》或《社会保险参保人员证明》等；一人多证不重复计分；不提供或提供的内容不符合或提供的证明材料不齐全均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48"/>
        </w:rPr>
        <w:t>2023</w:t>
      </w:r>
      <w:r>
        <w:rPr>
          <w:b/>
          <w:sz w:val="48"/>
        </w:rPr>
        <w:t>年尖峰岭、环山岭、雅居乐西侧</w:t>
      </w:r>
    </w:p>
    <w:p>
      <w:pPr>
        <w:jc w:val="center"/>
      </w:pPr>
      <w:r>
        <w:rPr>
          <w:b/>
          <w:sz w:val="48"/>
        </w:rPr>
        <w:t>山体公园综合维护管理服务项目</w:t>
      </w:r>
    </w:p>
    <w:p>
      <w:pPr>
        <w:jc w:val="both"/>
      </w:pPr>
    </w:p>
    <w:p>
      <w:pPr>
        <w:jc w:val="center"/>
      </w:pPr>
      <w:r>
        <w:rPr>
          <w:b/>
          <w:sz w:val="48"/>
        </w:rPr>
        <w:t>合同书</w:t>
      </w:r>
    </w:p>
    <w:p>
      <w:pPr>
        <w:jc w:val="center"/>
      </w:pPr>
      <w:r>
        <w:rPr>
          <w:sz w:val="24"/>
        </w:rPr>
        <w:t>（合同编号：</w:t>
      </w:r>
      <w:r>
        <w:rPr>
          <w:sz w:val="21"/>
          <w:u w:val="single"/>
        </w:rPr>
        <w:t xml:space="preserve">              </w:t>
      </w:r>
      <w:r>
        <w:rPr>
          <w:sz w:val="24"/>
        </w:rPr>
        <w:t>）</w:t>
      </w:r>
    </w:p>
    <w:p>
      <w:pPr>
        <w:jc w:val="center"/>
      </w:pPr>
    </w:p>
    <w:p>
      <w:pPr>
        <w:jc w:val="center"/>
      </w:pPr>
    </w:p>
    <w:p>
      <w:pPr>
        <w:jc w:val="center"/>
      </w:pPr>
    </w:p>
    <w:p>
      <w:pPr>
        <w:jc w:val="both"/>
      </w:pPr>
    </w:p>
    <w:p>
      <w:pPr>
        <w:jc w:val="both"/>
      </w:pPr>
      <w:r>
        <w:rPr>
          <w:sz w:val="21"/>
        </w:rPr>
        <w:t xml:space="preserve">                          </w:t>
      </w:r>
    </w:p>
    <w:p>
      <w:pPr>
        <w:jc w:val="both"/>
      </w:pPr>
    </w:p>
    <w:p>
      <w:pPr>
        <w:jc w:val="both"/>
      </w:pPr>
    </w:p>
    <w:p>
      <w:pPr>
        <w:jc w:val="both"/>
      </w:pPr>
    </w:p>
    <w:p>
      <w:pPr>
        <w:jc w:val="both"/>
      </w:pPr>
    </w:p>
    <w:p>
      <w:pPr>
        <w:jc w:val="both"/>
      </w:pPr>
    </w:p>
    <w:p>
      <w:pPr>
        <w:jc w:val="both"/>
      </w:pPr>
    </w:p>
    <w:p>
      <w:pPr>
        <w:jc w:val="both"/>
      </w:pPr>
    </w:p>
    <w:p>
      <w:pPr>
        <w:jc w:val="both"/>
      </w:pPr>
    </w:p>
    <w:p>
      <w:pPr>
        <w:jc w:val="both"/>
      </w:pPr>
      <w:r>
        <w:rPr>
          <w:sz w:val="28"/>
        </w:rPr>
        <w:t>项目名称：</w:t>
      </w:r>
      <w:r>
        <w:rPr>
          <w:sz w:val="21"/>
          <w:u w:val="single"/>
        </w:rPr>
        <w:t xml:space="preserve">                                                     </w:t>
      </w:r>
      <w:r>
        <w:rPr>
          <w:sz w:val="21"/>
          <w:u w:val="single"/>
        </w:rPr>
        <w:t xml:space="preserve">     </w:t>
      </w:r>
    </w:p>
    <w:p>
      <w:pPr>
        <w:jc w:val="both"/>
      </w:pPr>
      <w:r>
        <w:rPr>
          <w:sz w:val="28"/>
        </w:rPr>
        <w:t>发包人：</w:t>
      </w:r>
      <w:r>
        <w:rPr>
          <w:sz w:val="21"/>
          <w:u w:val="single"/>
        </w:rPr>
        <w:t xml:space="preserve">                                                     </w:t>
      </w:r>
      <w:r>
        <w:rPr>
          <w:sz w:val="21"/>
          <w:u w:val="single"/>
        </w:rPr>
        <w:t xml:space="preserve">        </w:t>
      </w:r>
    </w:p>
    <w:p>
      <w:pPr>
        <w:jc w:val="both"/>
      </w:pPr>
      <w:r>
        <w:rPr>
          <w:sz w:val="28"/>
        </w:rPr>
        <w:t>承包人：</w:t>
      </w:r>
      <w:r>
        <w:rPr>
          <w:sz w:val="21"/>
          <w:u w:val="single"/>
        </w:rPr>
        <w:t xml:space="preserve">                                                     </w:t>
      </w:r>
      <w:r>
        <w:rPr>
          <w:sz w:val="21"/>
          <w:u w:val="single"/>
        </w:rPr>
        <w:t xml:space="preserve">        </w:t>
      </w:r>
    </w:p>
    <w:p>
      <w:pPr>
        <w:jc w:val="both"/>
      </w:pPr>
      <w:r>
        <w:rPr>
          <w:sz w:val="28"/>
        </w:rPr>
        <w:t>签订日期：</w:t>
      </w:r>
      <w:r>
        <w:rPr>
          <w:sz w:val="21"/>
          <w:u w:val="single"/>
        </w:rPr>
        <w:t xml:space="preserve">                                                     </w:t>
      </w:r>
      <w:r>
        <w:rPr>
          <w:sz w:val="21"/>
          <w:u w:val="single"/>
        </w:rPr>
        <w:t xml:space="preserve">     </w:t>
      </w:r>
    </w:p>
    <w:p>
      <w:pPr>
        <w:jc w:val="left"/>
      </w:pPr>
    </w:p>
    <w:p>
      <w:pPr>
        <w:jc w:val="both"/>
      </w:pPr>
      <w:r>
        <w:rPr>
          <w:b/>
          <w:sz w:val="24"/>
        </w:rPr>
        <w:t>注：本合同仅为合同的参考文本，合同签订双方可根据项目的具体要求进行修订。</w:t>
      </w:r>
    </w:p>
    <w:p>
      <w:pPr>
        <w:jc w:val="both"/>
      </w:pPr>
    </w:p>
    <w:p>
      <w:pPr>
        <w:jc w:val="both"/>
      </w:pPr>
    </w:p>
    <w:p>
      <w:pPr>
        <w:jc w:val="both"/>
      </w:pPr>
      <w:r>
        <w:rPr>
          <w:sz w:val="21"/>
        </w:rPr>
        <w:t>甲方（发包人）：</w:t>
      </w:r>
      <w:r>
        <w:rPr>
          <w:sz w:val="21"/>
          <w:u w:val="single"/>
        </w:rPr>
        <w:t xml:space="preserve">                                                             </w:t>
      </w:r>
      <w:r>
        <w:rPr>
          <w:sz w:val="21"/>
        </w:rPr>
        <w:t xml:space="preserve">                                                </w:t>
      </w:r>
    </w:p>
    <w:p>
      <w:pPr>
        <w:jc w:val="both"/>
      </w:pPr>
      <w:r>
        <w:rPr>
          <w:sz w:val="21"/>
        </w:rPr>
        <w:t>乙方（承包人）：</w:t>
      </w:r>
      <w:r>
        <w:rPr>
          <w:sz w:val="21"/>
          <w:u w:val="single"/>
        </w:rPr>
        <w:t xml:space="preserve">                                                             </w:t>
      </w:r>
      <w:r>
        <w:rPr>
          <w:sz w:val="21"/>
        </w:rPr>
        <w:t xml:space="preserve">                                                </w:t>
      </w:r>
    </w:p>
    <w:p>
      <w:pPr>
        <w:jc w:val="both"/>
      </w:pPr>
    </w:p>
    <w:p>
      <w:pPr>
        <w:ind w:firstLine="420"/>
        <w:jc w:val="both"/>
      </w:pPr>
      <w:r>
        <w:rPr>
          <w:sz w:val="21"/>
        </w:rPr>
        <w:t>根据《中华人民共和国民法典》、《中华人民共和国政府采购法》及</w:t>
      </w:r>
      <w:r>
        <w:rPr>
          <w:sz w:val="21"/>
        </w:rPr>
        <w:t>“2023</w:t>
      </w:r>
      <w:r>
        <w:rPr>
          <w:sz w:val="21"/>
        </w:rPr>
        <w:t>年尖峰岭、环山岭、雅居乐西侧山体公园综合维护管理服务项目</w:t>
      </w:r>
      <w:r>
        <w:rPr>
          <w:sz w:val="21"/>
        </w:rPr>
        <w:t>”</w:t>
      </w:r>
      <w:r>
        <w:rPr>
          <w:sz w:val="21"/>
        </w:rPr>
        <w:t>（项目编号：</w:t>
      </w:r>
      <w:r>
        <w:rPr>
          <w:sz w:val="21"/>
          <w:u w:val="single"/>
        </w:rPr>
        <w:t xml:space="preserve">            </w:t>
      </w:r>
      <w:r>
        <w:rPr>
          <w:sz w:val="21"/>
        </w:rPr>
        <w:t>）招标文件的要求和招标结果，经甲、乙双方协商一致，本着平等互利和诚实信用的原则，签订本合同。双方共同遵守如下条款：</w:t>
      </w:r>
    </w:p>
    <w:p>
      <w:pPr>
        <w:ind w:firstLine="422"/>
        <w:jc w:val="both"/>
      </w:pPr>
      <w:r>
        <w:rPr>
          <w:b/>
          <w:sz w:val="21"/>
        </w:rPr>
        <w:t>一、服务内容、服务范围、服务期限、合同金额</w:t>
      </w:r>
    </w:p>
    <w:p>
      <w:pPr>
        <w:ind w:firstLine="420"/>
        <w:jc w:val="both"/>
      </w:pPr>
      <w:r>
        <w:rPr>
          <w:sz w:val="21"/>
        </w:rPr>
        <w:t>（一）服务内容：本项目为</w:t>
      </w:r>
      <w:r>
        <w:rPr>
          <w:sz w:val="21"/>
        </w:rPr>
        <w:t>2023</w:t>
      </w:r>
      <w:r>
        <w:rPr>
          <w:sz w:val="21"/>
        </w:rPr>
        <w:t>年尖峰岭、环山岭、雅居乐西侧山体公园综合维护管理服务项目，服务内容包括尖峰岭公园、环山岭公园、雅居乐西侧山体公园绿化养护服务、保洁服务、除四害及白蚁防治服务等。</w:t>
      </w:r>
    </w:p>
    <w:p>
      <w:pPr>
        <w:ind w:firstLine="420"/>
        <w:jc w:val="both"/>
      </w:pPr>
      <w:r>
        <w:rPr>
          <w:sz w:val="21"/>
        </w:rPr>
        <w:t>（二）服务范围：尖峰岭公园总面积约</w:t>
      </w:r>
      <w:r>
        <w:rPr>
          <w:sz w:val="21"/>
        </w:rPr>
        <w:t>6.62</w:t>
      </w:r>
      <w:r>
        <w:rPr>
          <w:sz w:val="21"/>
        </w:rPr>
        <w:t>万平方米，现绿化养护面积约</w:t>
      </w:r>
      <w:r>
        <w:rPr>
          <w:sz w:val="21"/>
        </w:rPr>
        <w:t>57726.60</w:t>
      </w:r>
      <w:r>
        <w:rPr>
          <w:sz w:val="21"/>
        </w:rPr>
        <w:t>平方米，预计增加</w:t>
      </w:r>
      <w:r>
        <w:rPr>
          <w:sz w:val="21"/>
        </w:rPr>
        <w:t>1650</w:t>
      </w:r>
      <w:r>
        <w:rPr>
          <w:sz w:val="21"/>
        </w:rPr>
        <w:t>平方米，共计</w:t>
      </w:r>
      <w:r>
        <w:rPr>
          <w:sz w:val="21"/>
        </w:rPr>
        <w:t>59376.60</w:t>
      </w:r>
      <w:r>
        <w:rPr>
          <w:sz w:val="21"/>
        </w:rPr>
        <w:t>平方米；现建筑及硬地面积约</w:t>
      </w:r>
      <w:r>
        <w:rPr>
          <w:sz w:val="21"/>
        </w:rPr>
        <w:t>6803.75</w:t>
      </w:r>
      <w:r>
        <w:rPr>
          <w:sz w:val="21"/>
        </w:rPr>
        <w:t>平方米；现有公厕</w:t>
      </w:r>
      <w:r>
        <w:rPr>
          <w:sz w:val="21"/>
        </w:rPr>
        <w:t>1</w:t>
      </w:r>
      <w:r>
        <w:rPr>
          <w:sz w:val="21"/>
        </w:rPr>
        <w:t>座。环山岭公园总面积约</w:t>
      </w:r>
      <w:r>
        <w:rPr>
          <w:sz w:val="21"/>
        </w:rPr>
        <w:t>1.32</w:t>
      </w:r>
      <w:r>
        <w:rPr>
          <w:sz w:val="21"/>
        </w:rPr>
        <w:t>万平方米，现绿化养护面积约</w:t>
      </w:r>
      <w:r>
        <w:rPr>
          <w:sz w:val="21"/>
        </w:rPr>
        <w:t>9844.80</w:t>
      </w:r>
      <w:r>
        <w:rPr>
          <w:sz w:val="21"/>
        </w:rPr>
        <w:t>平方米，预计增加</w:t>
      </w:r>
      <w:r>
        <w:rPr>
          <w:sz w:val="21"/>
        </w:rPr>
        <w:t>750</w:t>
      </w:r>
      <w:r>
        <w:rPr>
          <w:sz w:val="21"/>
        </w:rPr>
        <w:t>平方米，共计</w:t>
      </w:r>
      <w:r>
        <w:rPr>
          <w:sz w:val="21"/>
        </w:rPr>
        <w:t>10594.80</w:t>
      </w:r>
      <w:r>
        <w:rPr>
          <w:sz w:val="21"/>
        </w:rPr>
        <w:t>平方米；现建筑及硬地面积约</w:t>
      </w:r>
      <w:r>
        <w:rPr>
          <w:sz w:val="21"/>
        </w:rPr>
        <w:t>2010.60</w:t>
      </w:r>
      <w:r>
        <w:rPr>
          <w:sz w:val="21"/>
        </w:rPr>
        <w:t>平方米，预计增加</w:t>
      </w:r>
      <w:r>
        <w:rPr>
          <w:sz w:val="21"/>
        </w:rPr>
        <w:t>500</w:t>
      </w:r>
      <w:r>
        <w:rPr>
          <w:sz w:val="21"/>
        </w:rPr>
        <w:t>平方米，共计</w:t>
      </w:r>
      <w:r>
        <w:rPr>
          <w:sz w:val="21"/>
        </w:rPr>
        <w:t>2510.60</w:t>
      </w:r>
      <w:r>
        <w:rPr>
          <w:sz w:val="21"/>
        </w:rPr>
        <w:t>平方米；现暂无公厕。雅居乐西侧山体公园总面积约</w:t>
      </w:r>
      <w:r>
        <w:rPr>
          <w:sz w:val="21"/>
        </w:rPr>
        <w:t>2.6</w:t>
      </w:r>
      <w:r>
        <w:rPr>
          <w:sz w:val="21"/>
        </w:rPr>
        <w:t>万平方米，现绿化养护面积约</w:t>
      </w:r>
      <w:r>
        <w:rPr>
          <w:sz w:val="21"/>
        </w:rPr>
        <w:t>17510</w:t>
      </w:r>
      <w:r>
        <w:rPr>
          <w:sz w:val="21"/>
        </w:rPr>
        <w:t>平方米，预计增加</w:t>
      </w:r>
      <w:r>
        <w:rPr>
          <w:sz w:val="21"/>
        </w:rPr>
        <w:t>1000</w:t>
      </w:r>
      <w:r>
        <w:rPr>
          <w:sz w:val="21"/>
        </w:rPr>
        <w:t>平方米，共计</w:t>
      </w:r>
      <w:r>
        <w:rPr>
          <w:sz w:val="21"/>
        </w:rPr>
        <w:t>18510</w:t>
      </w:r>
      <w:r>
        <w:rPr>
          <w:sz w:val="21"/>
        </w:rPr>
        <w:t>平方米；现建筑及硬地面积约</w:t>
      </w:r>
      <w:r>
        <w:rPr>
          <w:sz w:val="21"/>
        </w:rPr>
        <w:t>7406.12</w:t>
      </w:r>
      <w:r>
        <w:rPr>
          <w:sz w:val="21"/>
        </w:rPr>
        <w:t>平方米；现有公厕</w:t>
      </w:r>
      <w:r>
        <w:rPr>
          <w:sz w:val="21"/>
        </w:rPr>
        <w:t>2</w:t>
      </w:r>
      <w:r>
        <w:rPr>
          <w:sz w:val="21"/>
        </w:rPr>
        <w:t>座。项目具体工作量详见合同附件《</w:t>
      </w:r>
      <w:r>
        <w:rPr>
          <w:sz w:val="21"/>
        </w:rPr>
        <w:t>2023</w:t>
      </w:r>
      <w:r>
        <w:rPr>
          <w:sz w:val="21"/>
        </w:rPr>
        <w:t>年尖峰岭、环山岭、雅居乐西侧山体公园综合维护管理服务项目服务清单》。项目服务清单中的数量为预计工作量，实际数量以新旧服务单位、甲方及第三方单位共同核实为准。因公园规划、管理等原因出现服务工作量的变化，乙方同意服务费按照实际服务工作量进行结算。</w:t>
      </w:r>
    </w:p>
    <w:p>
      <w:pPr>
        <w:ind w:firstLine="420"/>
        <w:jc w:val="both"/>
      </w:pPr>
      <w:r>
        <w:rPr>
          <w:sz w:val="21"/>
        </w:rPr>
        <w:t>（三）本项目服务期限：</w:t>
      </w:r>
      <w:r>
        <w:rPr>
          <w:sz w:val="21"/>
          <w:u w:val="single"/>
        </w:rPr>
        <w:t xml:space="preserve">   </w:t>
      </w:r>
      <w:r>
        <w:rPr>
          <w:sz w:val="21"/>
        </w:rPr>
        <w:t>个月</w:t>
      </w:r>
      <w:r>
        <w:rPr>
          <w:sz w:val="21"/>
          <w:u w:val="single"/>
        </w:rPr>
        <w:t xml:space="preserve">   </w:t>
      </w:r>
      <w:r>
        <w:rPr>
          <w:sz w:val="21"/>
        </w:rPr>
        <w:t>日</w:t>
      </w:r>
      <w:r>
        <w:rPr>
          <w:sz w:val="21"/>
        </w:rPr>
        <w:t>，从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日起至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日止；项目合同总金额：</w:t>
      </w:r>
      <w:r>
        <w:rPr>
          <w:sz w:val="21"/>
          <w:u w:val="single"/>
        </w:rPr>
        <w:t xml:space="preserve">    </w:t>
      </w:r>
      <w:r>
        <w:rPr>
          <w:sz w:val="21"/>
        </w:rPr>
        <w:t>元（大写：人民币</w:t>
      </w:r>
      <w:r>
        <w:rPr>
          <w:sz w:val="21"/>
          <w:u w:val="single"/>
        </w:rPr>
        <w:t xml:space="preserve">   </w:t>
      </w:r>
      <w:r>
        <w:rPr>
          <w:sz w:val="21"/>
        </w:rPr>
        <w:t>）。服务期内，合同一年一签，具体如下：</w:t>
      </w:r>
    </w:p>
    <w:p>
      <w:pPr>
        <w:ind w:firstLine="420"/>
        <w:jc w:val="both"/>
      </w:pPr>
      <w:r>
        <w:rPr>
          <w:sz w:val="21"/>
        </w:rPr>
        <w:t>1.</w:t>
      </w:r>
      <w:r>
        <w:rPr>
          <w:sz w:val="21"/>
        </w:rPr>
        <w:t>第一年度合同服务期限：</w:t>
      </w:r>
    </w:p>
    <w:p>
      <w:pPr>
        <w:ind w:firstLine="420"/>
        <w:jc w:val="both"/>
      </w:pPr>
      <w:r>
        <w:rPr>
          <w:sz w:val="21"/>
        </w:rPr>
        <w:t>（</w:t>
      </w:r>
      <w:r>
        <w:rPr>
          <w:sz w:val="21"/>
        </w:rPr>
        <w:t>1</w:t>
      </w:r>
      <w:r>
        <w:rPr>
          <w:sz w:val="21"/>
        </w:rPr>
        <w:t>）尖峰岭公园、环山岭公园：</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ind w:firstLine="420"/>
        <w:jc w:val="both"/>
      </w:pPr>
      <w:r>
        <w:rPr>
          <w:sz w:val="21"/>
        </w:rPr>
        <w:t>（</w:t>
      </w:r>
      <w:r>
        <w:rPr>
          <w:sz w:val="21"/>
        </w:rPr>
        <w:t>2</w:t>
      </w:r>
      <w:r>
        <w:rPr>
          <w:sz w:val="21"/>
        </w:rPr>
        <w:t>）雅居乐西侧山体公园：    年  月  日至    年  月  日；</w:t>
      </w:r>
    </w:p>
    <w:p>
      <w:pPr>
        <w:ind w:firstLine="420"/>
        <w:jc w:val="both"/>
      </w:pPr>
      <w:r>
        <w:rPr>
          <w:sz w:val="21"/>
        </w:rPr>
        <w:t>合同金额：</w:t>
      </w:r>
      <w:r>
        <w:rPr>
          <w:sz w:val="21"/>
          <w:u w:val="single"/>
        </w:rPr>
        <w:t xml:space="preserve">    </w:t>
      </w:r>
      <w:r>
        <w:rPr>
          <w:sz w:val="21"/>
        </w:rPr>
        <w:t>元（大写：人民币</w:t>
      </w:r>
      <w:r>
        <w:rPr>
          <w:sz w:val="21"/>
          <w:u w:val="single"/>
        </w:rPr>
        <w:t xml:space="preserve">           </w:t>
      </w:r>
      <w:r>
        <w:rPr>
          <w:sz w:val="21"/>
        </w:rPr>
        <w:t>）。</w:t>
      </w:r>
    </w:p>
    <w:p>
      <w:pPr>
        <w:ind w:firstLine="420"/>
        <w:jc w:val="both"/>
      </w:pPr>
      <w:r>
        <w:rPr>
          <w:sz w:val="21"/>
        </w:rPr>
        <w:t>2.</w:t>
      </w:r>
      <w:r>
        <w:rPr>
          <w:sz w:val="21"/>
        </w:rPr>
        <w:t>第二年度合同服务期限：</w:t>
      </w:r>
    </w:p>
    <w:p>
      <w:pPr>
        <w:ind w:firstLine="420"/>
        <w:jc w:val="both"/>
      </w:pPr>
      <w:r>
        <w:rPr>
          <w:sz w:val="21"/>
        </w:rPr>
        <w:t>（</w:t>
      </w:r>
      <w:r>
        <w:rPr>
          <w:sz w:val="21"/>
        </w:rPr>
        <w:t>1</w:t>
      </w:r>
      <w:r>
        <w:rPr>
          <w:sz w:val="21"/>
        </w:rPr>
        <w:t>）尖峰岭公园、环山岭公园：</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ind w:firstLine="420"/>
        <w:jc w:val="both"/>
      </w:pPr>
      <w:r>
        <w:rPr>
          <w:sz w:val="21"/>
        </w:rPr>
        <w:t>（</w:t>
      </w:r>
      <w:r>
        <w:rPr>
          <w:sz w:val="21"/>
        </w:rPr>
        <w:t>2</w:t>
      </w:r>
      <w:r>
        <w:rPr>
          <w:sz w:val="21"/>
        </w:rPr>
        <w:t>）雅居乐西侧山体公园：</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ind w:firstLine="420"/>
        <w:jc w:val="both"/>
      </w:pPr>
      <w:r>
        <w:rPr>
          <w:sz w:val="21"/>
        </w:rPr>
        <w:t>合同金额：</w:t>
      </w:r>
      <w:r>
        <w:rPr>
          <w:sz w:val="21"/>
          <w:u w:val="single"/>
        </w:rPr>
        <w:t xml:space="preserve">    </w:t>
      </w:r>
      <w:r>
        <w:rPr>
          <w:sz w:val="21"/>
        </w:rPr>
        <w:t>元（大写：人民币</w:t>
      </w:r>
      <w:r>
        <w:rPr>
          <w:sz w:val="21"/>
          <w:u w:val="single"/>
        </w:rPr>
        <w:t xml:space="preserve">           </w:t>
      </w:r>
      <w:r>
        <w:rPr>
          <w:sz w:val="21"/>
        </w:rPr>
        <w:t>）。</w:t>
      </w:r>
    </w:p>
    <w:p>
      <w:pPr>
        <w:ind w:firstLine="420"/>
        <w:jc w:val="both"/>
      </w:pPr>
      <w:r>
        <w:rPr>
          <w:sz w:val="21"/>
        </w:rPr>
        <w:t>3.</w:t>
      </w:r>
      <w:r>
        <w:rPr>
          <w:sz w:val="21"/>
        </w:rPr>
        <w:t>第三年度合同服务期限：</w:t>
      </w:r>
    </w:p>
    <w:p>
      <w:pPr>
        <w:ind w:firstLine="420"/>
        <w:jc w:val="both"/>
      </w:pPr>
      <w:r>
        <w:rPr>
          <w:sz w:val="21"/>
        </w:rPr>
        <w:t>（</w:t>
      </w:r>
      <w:r>
        <w:rPr>
          <w:sz w:val="21"/>
        </w:rPr>
        <w:t>1</w:t>
      </w:r>
      <w:r>
        <w:rPr>
          <w:sz w:val="21"/>
        </w:rPr>
        <w:t>）尖峰岭公园、环山岭公园：</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ind w:firstLine="420"/>
        <w:jc w:val="both"/>
      </w:pPr>
      <w:r>
        <w:rPr>
          <w:sz w:val="21"/>
        </w:rPr>
        <w:t>（</w:t>
      </w:r>
      <w:r>
        <w:rPr>
          <w:sz w:val="21"/>
        </w:rPr>
        <w:t>2</w:t>
      </w:r>
      <w:r>
        <w:rPr>
          <w:sz w:val="21"/>
        </w:rPr>
        <w:t>）雅居乐西侧山体公园：</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ind w:firstLine="420"/>
        <w:jc w:val="both"/>
      </w:pPr>
      <w:r>
        <w:rPr>
          <w:sz w:val="21"/>
        </w:rPr>
        <w:t>合同金额：</w:t>
      </w:r>
      <w:r>
        <w:rPr>
          <w:sz w:val="21"/>
          <w:u w:val="single"/>
        </w:rPr>
        <w:t xml:space="preserve">    </w:t>
      </w:r>
      <w:r>
        <w:rPr>
          <w:sz w:val="21"/>
        </w:rPr>
        <w:t>元（大写：人民币</w:t>
      </w:r>
      <w:r>
        <w:rPr>
          <w:sz w:val="21"/>
          <w:u w:val="single"/>
        </w:rPr>
        <w:t xml:space="preserve">           </w:t>
      </w:r>
      <w:r>
        <w:rPr>
          <w:sz w:val="21"/>
        </w:rPr>
        <w:t>）。</w:t>
      </w:r>
    </w:p>
    <w:p>
      <w:pPr>
        <w:ind w:firstLine="420"/>
        <w:jc w:val="both"/>
      </w:pPr>
      <w:r>
        <w:rPr>
          <w:sz w:val="21"/>
        </w:rPr>
        <w:t>（四）本合同为第</w:t>
      </w:r>
      <w:r>
        <w:rPr>
          <w:sz w:val="21"/>
          <w:u w:val="single"/>
        </w:rPr>
        <w:t xml:space="preserve">    </w:t>
      </w:r>
      <w:r>
        <w:rPr>
          <w:sz w:val="21"/>
        </w:rPr>
        <w:t>年度合同，服务期限</w:t>
      </w:r>
      <w:r>
        <w:rPr>
          <w:sz w:val="21"/>
        </w:rPr>
        <w:t>:</w:t>
      </w:r>
    </w:p>
    <w:p>
      <w:pPr>
        <w:ind w:firstLine="420"/>
        <w:jc w:val="both"/>
      </w:pPr>
      <w:r>
        <w:rPr>
          <w:sz w:val="21"/>
        </w:rPr>
        <w:t>（</w:t>
      </w:r>
      <w:r>
        <w:rPr>
          <w:sz w:val="21"/>
        </w:rPr>
        <w:t>1</w:t>
      </w:r>
      <w:r>
        <w:rPr>
          <w:sz w:val="21"/>
        </w:rPr>
        <w:t>）尖峰岭公园、环山岭公园：</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ind w:firstLine="420"/>
        <w:jc w:val="both"/>
      </w:pPr>
      <w:r>
        <w:rPr>
          <w:sz w:val="21"/>
        </w:rPr>
        <w:t>（</w:t>
      </w:r>
      <w:r>
        <w:rPr>
          <w:sz w:val="21"/>
        </w:rPr>
        <w:t>2</w:t>
      </w:r>
      <w:r>
        <w:rPr>
          <w:sz w:val="21"/>
        </w:rPr>
        <w:t>）雅居乐西侧山体公园：</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ind w:firstLine="420"/>
        <w:jc w:val="both"/>
      </w:pPr>
      <w:r>
        <w:rPr>
          <w:sz w:val="21"/>
        </w:rPr>
        <w:t>本合同金额：</w:t>
      </w:r>
      <w:r>
        <w:rPr>
          <w:sz w:val="21"/>
          <w:u w:val="single"/>
        </w:rPr>
        <w:t xml:space="preserve">    </w:t>
      </w:r>
      <w:r>
        <w:rPr>
          <w:sz w:val="21"/>
        </w:rPr>
        <w:t>元（大写：人民币</w:t>
      </w:r>
      <w:r>
        <w:rPr>
          <w:sz w:val="21"/>
          <w:u w:val="single"/>
        </w:rPr>
        <w:t xml:space="preserve">           </w:t>
      </w:r>
      <w:r>
        <w:rPr>
          <w:sz w:val="21"/>
        </w:rPr>
        <w:t>）。</w:t>
      </w:r>
    </w:p>
    <w:p>
      <w:pPr>
        <w:ind w:firstLine="420"/>
        <w:jc w:val="both"/>
      </w:pPr>
      <w:r>
        <w:rPr>
          <w:sz w:val="21"/>
        </w:rPr>
        <w:t>（五）服务期间，甲方将按招、投标文件及本合同约定的内容对乙方进行考核。如遇国家法律法规或上级政策变动而终止本项目，甲方将不承担任何责任。经甲方通知后，本项目服务期限终止，乙方同意服务费根据已提供服务的实际情况进行结算。</w:t>
      </w:r>
    </w:p>
    <w:p>
      <w:pPr>
        <w:ind w:firstLine="420"/>
        <w:jc w:val="both"/>
      </w:pPr>
      <w:r>
        <w:rPr>
          <w:sz w:val="21"/>
        </w:rPr>
        <w:t>（六）乙方按本项目服务内容及要求，采取包工包料包质量包安全文明作业的总价包干形式承包任务。合同金额已包含项目服务期限内的各项管理费、工具机械费、材料费、运输费、作业车辆燃油费、人员工资、加班费、突发性作业费、劳保费、福利费、保险费、风险金、税费、不可预见费和利润等全部费用，甲方不再额外支付调整。</w:t>
      </w:r>
    </w:p>
    <w:p>
      <w:pPr>
        <w:ind w:firstLine="422"/>
        <w:jc w:val="both"/>
      </w:pPr>
      <w:r>
        <w:rPr>
          <w:b/>
          <w:sz w:val="21"/>
        </w:rPr>
        <w:t>二、总体服务内容及要求</w:t>
      </w:r>
    </w:p>
    <w:p>
      <w:pPr>
        <w:ind w:firstLine="420"/>
        <w:jc w:val="both"/>
      </w:pPr>
      <w:r>
        <w:rPr>
          <w:sz w:val="21"/>
        </w:rPr>
        <w:t>（一）总体服务内容</w:t>
      </w:r>
    </w:p>
    <w:p>
      <w:pPr>
        <w:ind w:firstLine="420"/>
        <w:jc w:val="both"/>
      </w:pPr>
      <w:r>
        <w:rPr>
          <w:sz w:val="21"/>
        </w:rPr>
        <w:t>1.</w:t>
      </w:r>
      <w:r>
        <w:rPr>
          <w:sz w:val="21"/>
        </w:rPr>
        <w:t>绿化养护工作内容包括但不限于：公园红线范围内改造过的绿化浇灌、中耕松土、施肥、修剪、造型、除杂草、病虫害防治、红火蚁防治、裸露补植、树木涂白、树木扶正、寄生物和枯枝处理、绿地保洁及绿化垃圾清运、绿地排水和灌溉设施维护，自然灾害、检查活动应急处理，清除影响公园景观的属于未改造山体部分的树木，以及甲方安排的绿化相关临时性、突击性任务等。</w:t>
      </w:r>
    </w:p>
    <w:p>
      <w:pPr>
        <w:ind w:firstLine="420"/>
        <w:jc w:val="both"/>
      </w:pPr>
      <w:r>
        <w:rPr>
          <w:sz w:val="21"/>
        </w:rPr>
        <w:t>2.</w:t>
      </w:r>
      <w:r>
        <w:rPr>
          <w:sz w:val="21"/>
        </w:rPr>
        <w:t>卫生保洁工作内容包括但不限于：公园红线范围内管理处、廊亭、厕所、房屋等建（构）筑物，建筑物天面及外墙、建筑物内所有灯具，园椅（凳）、垃圾桶、指示牌、导游牌、路灯、护栏、明渠、沙井、水池等公园设施，广场、平台、停车场、园路、栈道等环境的卫生清扫保洁，排水沟清理、水体保洁、绿化带保洁、厕所化粪池清疏及外运、垃圾外运等工作。</w:t>
      </w:r>
    </w:p>
    <w:p>
      <w:pPr>
        <w:ind w:firstLine="420"/>
        <w:jc w:val="both"/>
      </w:pPr>
      <w:r>
        <w:rPr>
          <w:sz w:val="21"/>
        </w:rPr>
        <w:t>3.</w:t>
      </w:r>
      <w:r>
        <w:rPr>
          <w:sz w:val="21"/>
        </w:rPr>
        <w:t>除四害工作内容包括但不限于：定期对公园内绿化带、垃圾桶、公厕、下水道、沙井、单体建筑周边等处进行蚊、蝇、蟑螂、老鼠等防治消杀工作。</w:t>
      </w:r>
    </w:p>
    <w:p>
      <w:pPr>
        <w:ind w:firstLine="420"/>
        <w:jc w:val="both"/>
      </w:pPr>
      <w:r>
        <w:rPr>
          <w:sz w:val="21"/>
        </w:rPr>
        <w:t>4.</w:t>
      </w:r>
      <w:r>
        <w:rPr>
          <w:sz w:val="21"/>
        </w:rPr>
        <w:t>白蚁防治工作内容包括但不限于：定期对公园内乔灌木、木栈道、凉亭、建（构）筑物等处进行白蚁防治工作。</w:t>
      </w:r>
    </w:p>
    <w:p>
      <w:pPr>
        <w:ind w:firstLine="420"/>
        <w:jc w:val="both"/>
      </w:pPr>
      <w:r>
        <w:rPr>
          <w:sz w:val="21"/>
        </w:rPr>
        <w:t>（二）总体要求</w:t>
      </w:r>
    </w:p>
    <w:p>
      <w:pPr>
        <w:ind w:firstLine="420"/>
        <w:jc w:val="both"/>
      </w:pPr>
      <w:r>
        <w:rPr>
          <w:sz w:val="21"/>
        </w:rPr>
        <w:t>1.</w:t>
      </w:r>
      <w:r>
        <w:rPr>
          <w:sz w:val="21"/>
        </w:rPr>
        <w:t>乙方应具备与本项目相关的专业技术能力，应针对本项目特点制定切实有效的综合维护管理服务方案，需包括组织机构设置、管养方案、安全防护措施及应急预案等内容，为甲方提供专业、精准、细致的服务。合理调配人员，协调各岗位的分工协作，责任到人。建立项目档案，定期巡检与回访，记录反馈信息，并设立</w:t>
      </w:r>
      <w:r>
        <w:rPr>
          <w:sz w:val="21"/>
        </w:rPr>
        <w:t>24</w:t>
      </w:r>
      <w:r>
        <w:rPr>
          <w:sz w:val="21"/>
        </w:rPr>
        <w:t>小时值班服务与投诉电话。</w:t>
      </w:r>
    </w:p>
    <w:p>
      <w:pPr>
        <w:ind w:firstLine="420"/>
        <w:jc w:val="both"/>
      </w:pPr>
      <w:r>
        <w:rPr>
          <w:sz w:val="21"/>
        </w:rPr>
        <w:t>2.</w:t>
      </w:r>
      <w:r>
        <w:rPr>
          <w:sz w:val="21"/>
        </w:rPr>
        <w:t>乙方须配备相应的服务人员、机械设备以满足本项目的日常管理需求及应急响应，拟投入的服务人员必须专人专职、类别齐全，拟投入的机械设备必须确保性能并专用于本项目。乙方进场前，配备的服务人员、机械设备须报甲方审批备案。服务于本项目作业需求的机械设备可为自有或租赁，自有机械设备需提供有效的车辆行驶证或车辆登记证或购置发票复印件及清晰的实物照片；租赁机械设备需提供有效期能完全覆盖本合同服务期限的租赁合同、车辆行驶证复印件及清晰的实物照片。</w:t>
      </w:r>
    </w:p>
    <w:p>
      <w:pPr>
        <w:ind w:firstLine="420"/>
        <w:jc w:val="both"/>
      </w:pPr>
      <w:r>
        <w:rPr>
          <w:sz w:val="21"/>
        </w:rPr>
        <w:t>3.</w:t>
      </w:r>
      <w:r>
        <w:rPr>
          <w:sz w:val="21"/>
        </w:rPr>
        <w:t>乙方须根据甲方的服务要求与管理规定，组织实施公园绿化养护服务、保洁服务、除四害及白蚁防治服务工作，并不断完善项目整体服务方案。结合项目各阶段实际情况，适时做出岗位调整，完善各岗位职责。每周一次向甲方汇报工作开展情况，重大情况及时报告，配合甲方对项目服务范围内违规事件的处理。制订重大活动的安全、防火等应急预案，组织开展员工业务培训和预案演练，建立健全员工档案资料及所属设备资产的领用登记、维修管理台账。</w:t>
      </w:r>
    </w:p>
    <w:p>
      <w:pPr>
        <w:ind w:firstLine="420"/>
        <w:jc w:val="both"/>
      </w:pPr>
      <w:r>
        <w:rPr>
          <w:sz w:val="21"/>
        </w:rPr>
        <w:t>4.</w:t>
      </w:r>
      <w:r>
        <w:rPr>
          <w:sz w:val="21"/>
        </w:rPr>
        <w:t>乙方应对派驻公园的工作人员严格审查，保证工作人员健康状况良好、无精神病史、持有相应职位的资格上岗证。</w:t>
      </w:r>
    </w:p>
    <w:p>
      <w:pPr>
        <w:ind w:firstLine="420"/>
        <w:jc w:val="both"/>
      </w:pPr>
      <w:r>
        <w:rPr>
          <w:sz w:val="21"/>
        </w:rPr>
        <w:t>5.</w:t>
      </w:r>
      <w:r>
        <w:rPr>
          <w:sz w:val="21"/>
        </w:rPr>
        <w:t>乙方须严格落实管理措施，做好工作人员的监管和督查，奖勤罚懒，确保工作质量。严肃工作纪律，规范队伍管理，奖优罚劣；承担员工违规违纪的连带责任。实行人性化管理，关心员工疾苦，掌握员工的思想动态，充分调动员工积极性，稳定服务队伍，提高工作人员整体素质。</w:t>
      </w:r>
    </w:p>
    <w:p>
      <w:pPr>
        <w:ind w:firstLine="420"/>
        <w:jc w:val="both"/>
      </w:pPr>
      <w:r>
        <w:rPr>
          <w:sz w:val="21"/>
        </w:rPr>
        <w:t>6.</w:t>
      </w:r>
      <w:r>
        <w:rPr>
          <w:sz w:val="21"/>
        </w:rPr>
        <w:t>乙方必须采取切实有效的措施保证服务队伍的稳定性，严格控制非违纪人员轮换岗比例，如有工作人员更换，需提前书面通知甲方，并做好交接工作，重要岗位人员更换需得到甲方的批准。项目负责人、驻场主管更换，应提前一个月以书面形式通知甲方，其他人员更换应提前一周告知甲方，重新指派人员的资历不得低于被更换人员的资历，确保服务质量不因人员变动而受影响。</w:t>
      </w:r>
    </w:p>
    <w:p>
      <w:pPr>
        <w:ind w:firstLine="420"/>
        <w:jc w:val="both"/>
      </w:pPr>
      <w:r>
        <w:rPr>
          <w:sz w:val="21"/>
        </w:rPr>
        <w:t>7.</w:t>
      </w:r>
      <w:r>
        <w:rPr>
          <w:sz w:val="21"/>
        </w:rPr>
        <w:t>乙方承诺，合同期限内轮换岗人数不得超过合同核定数量的</w:t>
      </w:r>
      <w:r>
        <w:rPr>
          <w:sz w:val="21"/>
        </w:rPr>
        <w:t>40%</w:t>
      </w:r>
      <w:r>
        <w:rPr>
          <w:sz w:val="21"/>
        </w:rPr>
        <w:t>。</w:t>
      </w:r>
    </w:p>
    <w:p>
      <w:pPr>
        <w:ind w:firstLine="420"/>
        <w:jc w:val="both"/>
      </w:pPr>
      <w:r>
        <w:rPr>
          <w:sz w:val="21"/>
        </w:rPr>
        <w:t>8.</w:t>
      </w:r>
      <w:r>
        <w:rPr>
          <w:sz w:val="21"/>
        </w:rPr>
        <w:t>乙方须负责其工作人员的工作服、劳动工具、劳保用品等，提供服务过程中所需的作业工具、机具和物料。乙方工作人员的交通、食宿问题由乙方自行解决。</w:t>
      </w:r>
    </w:p>
    <w:p>
      <w:pPr>
        <w:ind w:firstLine="420"/>
        <w:jc w:val="both"/>
      </w:pPr>
      <w:r>
        <w:rPr>
          <w:sz w:val="21"/>
        </w:rPr>
        <w:t>9.</w:t>
      </w:r>
      <w:r>
        <w:rPr>
          <w:sz w:val="21"/>
        </w:rPr>
        <w:t>乙方必须严格按照国家、广东省、广州市有关劳动法律法规和社会保险法的规定，为员工提供完善的劳动权益保障。</w:t>
      </w:r>
    </w:p>
    <w:p>
      <w:pPr>
        <w:ind w:firstLine="420"/>
        <w:jc w:val="both"/>
      </w:pPr>
      <w:r>
        <w:rPr>
          <w:sz w:val="21"/>
        </w:rPr>
        <w:t>10.</w:t>
      </w:r>
      <w:r>
        <w:rPr>
          <w:sz w:val="21"/>
        </w:rPr>
        <w:t>乙方与派驻本项目的服务人员签订的用工合同需送交甲方备案。</w:t>
      </w:r>
    </w:p>
    <w:p>
      <w:pPr>
        <w:ind w:firstLine="420"/>
        <w:jc w:val="both"/>
      </w:pPr>
      <w:r>
        <w:rPr>
          <w:sz w:val="21"/>
        </w:rPr>
        <w:t>11.</w:t>
      </w:r>
      <w:r>
        <w:rPr>
          <w:sz w:val="21"/>
        </w:rPr>
        <w:t>如因用工引起劳动纠纷或出现伤病、意外死亡事故时，由乙方负责调处解决并承担相应的法律责任；若甲方因乙方派驻人员用工引起的劳动纠纷而被追究责任的，乙方应赔偿甲方所遭受的一切损失并承担违约责任。</w:t>
      </w:r>
    </w:p>
    <w:p>
      <w:pPr>
        <w:ind w:firstLine="420"/>
        <w:jc w:val="both"/>
      </w:pPr>
      <w:r>
        <w:rPr>
          <w:sz w:val="21"/>
        </w:rPr>
        <w:t>12.</w:t>
      </w:r>
      <w:r>
        <w:rPr>
          <w:sz w:val="21"/>
        </w:rPr>
        <w:t>乙方工作人员应按岗位要求着装统一、佩戴工作证等，言行礼貌规范（会使用普通话），注重仪容仪表，形象良好，文明上岗。</w:t>
      </w:r>
    </w:p>
    <w:p>
      <w:pPr>
        <w:ind w:firstLine="420"/>
        <w:jc w:val="both"/>
      </w:pPr>
      <w:r>
        <w:rPr>
          <w:sz w:val="21"/>
        </w:rPr>
        <w:t>13.</w:t>
      </w:r>
      <w:r>
        <w:rPr>
          <w:sz w:val="21"/>
        </w:rPr>
        <w:t>乙方工作人员必须遵守甲方关于公园管理的各项规章制度和管理规定，若出现违法违规违纪现象或管理不力、损害甲方利益的，甲方有权要求更换人员，乙方须在一周内换人，否则按缺员处理，并根据情节轻重扣罚服务费。项目负责人不得以任何理由对甲方的工作安排不表态、不落实和拖延时间，以上问题发生</w:t>
      </w:r>
      <w:r>
        <w:rPr>
          <w:sz w:val="21"/>
        </w:rPr>
        <w:t>3</w:t>
      </w:r>
      <w:r>
        <w:rPr>
          <w:sz w:val="21"/>
        </w:rPr>
        <w:t>次，甲方有权要求乙方更换项目负责人。</w:t>
      </w:r>
    </w:p>
    <w:p>
      <w:pPr>
        <w:ind w:firstLine="420"/>
        <w:jc w:val="both"/>
      </w:pPr>
      <w:r>
        <w:rPr>
          <w:sz w:val="21"/>
        </w:rPr>
        <w:t>14.</w:t>
      </w:r>
      <w:r>
        <w:rPr>
          <w:sz w:val="21"/>
        </w:rPr>
        <w:t>乙方工作人员在服务过程中应听取甲方合理意见，乙方需在甲方提出意见后</w:t>
      </w:r>
      <w:r>
        <w:rPr>
          <w:sz w:val="21"/>
        </w:rPr>
        <w:t>2</w:t>
      </w:r>
      <w:r>
        <w:rPr>
          <w:sz w:val="21"/>
        </w:rPr>
        <w:t>个工作日内作出整改；乙方派驻公园的工作人员不尽职守、工作责任心不强、工作效率低的，乙方须在接到甲方书面通知后一周内更换人员。</w:t>
      </w:r>
    </w:p>
    <w:p>
      <w:pPr>
        <w:ind w:firstLine="420"/>
        <w:jc w:val="both"/>
      </w:pPr>
      <w:r>
        <w:rPr>
          <w:sz w:val="21"/>
        </w:rPr>
        <w:t>15.</w:t>
      </w:r>
      <w:r>
        <w:rPr>
          <w:sz w:val="21"/>
        </w:rPr>
        <w:t>严禁乙方工作人员私自将甲方的物品或其他任何不属于乙方的物品带离园区，乙方工作人员需配合甲方的检查，如有违反，甲方将按公园管理规定作出相应的处罚。</w:t>
      </w:r>
    </w:p>
    <w:p>
      <w:pPr>
        <w:ind w:firstLine="420"/>
        <w:jc w:val="both"/>
      </w:pPr>
      <w:r>
        <w:rPr>
          <w:sz w:val="21"/>
        </w:rPr>
        <w:t>16.</w:t>
      </w:r>
      <w:r>
        <w:rPr>
          <w:sz w:val="21"/>
        </w:rPr>
        <w:t>甲方对乙方人员岗位设置、人员选用与日常管理具有直接指挥权和决定权。在处理特殊事件和紧急、突发事故时，甲方对乙方派出的驻场人员有直接指挥权。</w:t>
      </w:r>
    </w:p>
    <w:p>
      <w:pPr>
        <w:ind w:firstLine="420"/>
        <w:jc w:val="both"/>
      </w:pPr>
      <w:r>
        <w:rPr>
          <w:sz w:val="21"/>
        </w:rPr>
        <w:t>17.</w:t>
      </w:r>
      <w:r>
        <w:rPr>
          <w:sz w:val="21"/>
        </w:rPr>
        <w:t>乙方应具有一定规模的苗木基地作为日常养护及应急服务的保障。</w:t>
      </w:r>
    </w:p>
    <w:p>
      <w:pPr>
        <w:ind w:firstLine="420"/>
        <w:jc w:val="both"/>
      </w:pPr>
      <w:r>
        <w:rPr>
          <w:sz w:val="21"/>
        </w:rPr>
        <w:t>（三）工作人员配置及要求</w:t>
      </w:r>
    </w:p>
    <w:p>
      <w:pPr>
        <w:ind w:firstLine="420"/>
        <w:jc w:val="both"/>
      </w:pPr>
      <w:r>
        <w:rPr>
          <w:sz w:val="21"/>
        </w:rPr>
        <w:t>1.</w:t>
      </w:r>
      <w:r>
        <w:rPr>
          <w:sz w:val="21"/>
        </w:rPr>
        <w:t>项目组织架构：乙方须针对本项目管理特点配置相应的项目负责人、驻场主管、绿化养护人员、卫生保洁人员、除四害人员、白蚁防治人员、高空作业人员、安全员、资料员、机动人员及相应的技术指导人员等。</w:t>
      </w:r>
    </w:p>
    <w:p>
      <w:pPr>
        <w:ind w:firstLine="420"/>
        <w:jc w:val="both"/>
      </w:pPr>
      <w:r>
        <w:rPr>
          <w:sz w:val="21"/>
        </w:rPr>
        <w:t>2.</w:t>
      </w:r>
      <w:r>
        <w:rPr>
          <w:sz w:val="21"/>
        </w:rPr>
        <w:t>项目负责人要求：</w:t>
      </w:r>
    </w:p>
    <w:p>
      <w:pPr>
        <w:ind w:firstLine="420"/>
        <w:jc w:val="both"/>
      </w:pPr>
      <w:r>
        <w:rPr>
          <w:sz w:val="21"/>
        </w:rPr>
        <w:t>（</w:t>
      </w:r>
      <w:r>
        <w:rPr>
          <w:sz w:val="21"/>
        </w:rPr>
        <w:t>1</w:t>
      </w:r>
      <w:r>
        <w:rPr>
          <w:sz w:val="21"/>
        </w:rPr>
        <w:t>）本项目须配备项目负责人</w:t>
      </w:r>
      <w:r>
        <w:rPr>
          <w:sz w:val="21"/>
        </w:rPr>
        <w:t>1</w:t>
      </w:r>
      <w:r>
        <w:rPr>
          <w:sz w:val="21"/>
        </w:rPr>
        <w:t>名，要求有大学本科或以上学历，具有园林相关专业高级职称，有</w:t>
      </w:r>
      <w:r>
        <w:rPr>
          <w:sz w:val="21"/>
        </w:rPr>
        <w:t>5</w:t>
      </w:r>
      <w:r>
        <w:rPr>
          <w:sz w:val="21"/>
        </w:rPr>
        <w:t>年或以上丰富的公园管理经验，责任心强，并具有良好的沟通协调能力，能做到经常全面检查公园的管理工作，指导、督促在岗人员按甲方要求及相关规范、标准进行维护管理，发现问题应立即组织人员进行处理，按甲方要求参加例会。项目负责人的电话需保持</w:t>
      </w:r>
      <w:r>
        <w:rPr>
          <w:sz w:val="21"/>
        </w:rPr>
        <w:t>24</w:t>
      </w:r>
      <w:r>
        <w:rPr>
          <w:sz w:val="21"/>
        </w:rPr>
        <w:t>小时开机，如更换联系方式需及时通知甲方，以方便沟通联系。</w:t>
      </w:r>
    </w:p>
    <w:p>
      <w:pPr>
        <w:ind w:firstLine="420"/>
        <w:jc w:val="both"/>
      </w:pPr>
      <w:r>
        <w:rPr>
          <w:sz w:val="21"/>
        </w:rPr>
        <w:t>（</w:t>
      </w:r>
      <w:r>
        <w:rPr>
          <w:sz w:val="21"/>
        </w:rPr>
        <w:t>2</w:t>
      </w:r>
      <w:r>
        <w:rPr>
          <w:sz w:val="21"/>
        </w:rPr>
        <w:t>）负责公园管理服务的全面工作，落实甲方安排的各项工作任务，统筹协调公园整体管理工作，确保项目正常运作，对派驻员工进行岗前培训，指导、考核、评定员工工作等；审定报送给甲方的文件材料，办理请款手续，收集、整理管理过程产生的全部图纸、档案资料，并根据甲方要求进行移交。</w:t>
      </w:r>
    </w:p>
    <w:p>
      <w:pPr>
        <w:ind w:firstLine="420"/>
        <w:jc w:val="both"/>
      </w:pPr>
      <w:r>
        <w:rPr>
          <w:sz w:val="21"/>
        </w:rPr>
        <w:t>（</w:t>
      </w:r>
      <w:r>
        <w:rPr>
          <w:sz w:val="21"/>
        </w:rPr>
        <w:t>3</w:t>
      </w:r>
      <w:r>
        <w:rPr>
          <w:sz w:val="21"/>
        </w:rPr>
        <w:t>）每月</w:t>
      </w:r>
      <w:r>
        <w:rPr>
          <w:sz w:val="21"/>
        </w:rPr>
        <w:t>28</w:t>
      </w:r>
      <w:r>
        <w:rPr>
          <w:sz w:val="21"/>
        </w:rPr>
        <w:t>日前向甲方汇报本月工作情况，上交相关检查资料及完整的工作台帐（包括日常工作记录等）并归档保存。</w:t>
      </w:r>
    </w:p>
    <w:p>
      <w:pPr>
        <w:ind w:firstLine="420"/>
        <w:jc w:val="both"/>
      </w:pPr>
      <w:r>
        <w:rPr>
          <w:sz w:val="21"/>
        </w:rPr>
        <w:t>3.</w:t>
      </w:r>
      <w:r>
        <w:rPr>
          <w:sz w:val="21"/>
        </w:rPr>
        <w:t>驻场主管要求：</w:t>
      </w:r>
    </w:p>
    <w:p>
      <w:pPr>
        <w:ind w:firstLine="420"/>
        <w:jc w:val="both"/>
      </w:pPr>
      <w:r>
        <w:rPr>
          <w:sz w:val="21"/>
        </w:rPr>
        <w:t>（</w:t>
      </w:r>
      <w:r>
        <w:rPr>
          <w:sz w:val="21"/>
        </w:rPr>
        <w:t>1</w:t>
      </w:r>
      <w:r>
        <w:rPr>
          <w:sz w:val="21"/>
        </w:rPr>
        <w:t>）本项目须配备驻场主管</w:t>
      </w:r>
      <w:r>
        <w:rPr>
          <w:sz w:val="21"/>
        </w:rPr>
        <w:t>1</w:t>
      </w:r>
      <w:r>
        <w:rPr>
          <w:sz w:val="21"/>
        </w:rPr>
        <w:t>名，要求有大学专科或以上学历，具有园林相关专业中级或以上职称，有</w:t>
      </w:r>
      <w:r>
        <w:rPr>
          <w:sz w:val="21"/>
        </w:rPr>
        <w:t>5</w:t>
      </w:r>
      <w:r>
        <w:rPr>
          <w:sz w:val="21"/>
        </w:rPr>
        <w:t>年或以上较丰富的现场管理经验，现场驻点工作，工作认真负责、责任心强，具有良好的沟通协调能力，熟悉公园管理模式，能做到经常全面检查公园现场绿化养护、卫生保洁、除四害及白蚁防治等工作，指导、督促在岗人员按要求做好本职工作，发现问题应立即组织人员进行处理，及时与甲方现场管理人员沟通工作情况，参与甲方组织的公园管理例会，积极完成甲方下达的工作任务。</w:t>
      </w:r>
    </w:p>
    <w:p>
      <w:pPr>
        <w:ind w:firstLine="420"/>
        <w:jc w:val="both"/>
      </w:pPr>
      <w:r>
        <w:rPr>
          <w:sz w:val="21"/>
        </w:rPr>
        <w:t>（</w:t>
      </w:r>
      <w:r>
        <w:rPr>
          <w:sz w:val="21"/>
        </w:rPr>
        <w:t>2</w:t>
      </w:r>
      <w:r>
        <w:rPr>
          <w:sz w:val="21"/>
        </w:rPr>
        <w:t>）以身作则、吃苦在先、讲求奉献；组织实施公园绿化养护等整体服务方案。</w:t>
      </w:r>
    </w:p>
    <w:p>
      <w:pPr>
        <w:ind w:firstLine="420"/>
        <w:jc w:val="both"/>
      </w:pPr>
      <w:r>
        <w:rPr>
          <w:sz w:val="21"/>
        </w:rPr>
        <w:t>（</w:t>
      </w:r>
      <w:r>
        <w:rPr>
          <w:sz w:val="21"/>
        </w:rPr>
        <w:t>3</w:t>
      </w:r>
      <w:r>
        <w:rPr>
          <w:sz w:val="21"/>
        </w:rPr>
        <w:t>）负责公园绿化养护、卫生保洁、除四害、白蚁防治服务等现场综合管理工作及公园日常工作的组织管理和协调。</w:t>
      </w:r>
    </w:p>
    <w:p>
      <w:pPr>
        <w:ind w:firstLine="420"/>
        <w:jc w:val="both"/>
      </w:pPr>
      <w:r>
        <w:rPr>
          <w:sz w:val="21"/>
        </w:rPr>
        <w:t>（</w:t>
      </w:r>
      <w:r>
        <w:rPr>
          <w:sz w:val="21"/>
        </w:rPr>
        <w:t>4</w:t>
      </w:r>
      <w:r>
        <w:rPr>
          <w:sz w:val="21"/>
        </w:rPr>
        <w:t>）落实公园相关管理制度，实时跟进派驻公园工作人员的工作情况，并给予工作指导，督查在岗人员履行岗位职责情况，纠正员工违规违纪行为；坚持每天点评，不流于形式，形成良好的工作风气；处理各岗位的突发事件，重大情况及时报告；组织指挥员工做好公园重大活动及突发、应急事件的现场秩序维护和安全保障工作。</w:t>
      </w:r>
    </w:p>
    <w:p>
      <w:pPr>
        <w:ind w:firstLine="420"/>
        <w:jc w:val="both"/>
      </w:pPr>
      <w:r>
        <w:rPr>
          <w:sz w:val="21"/>
        </w:rPr>
        <w:t>4.</w:t>
      </w:r>
      <w:r>
        <w:rPr>
          <w:sz w:val="21"/>
        </w:rPr>
        <w:t>绿化养护人员要求：本项目需参照《广州市公园管理规范》配备绿化养护人员（一级：不低于</w:t>
      </w:r>
      <w:r>
        <w:rPr>
          <w:sz w:val="21"/>
        </w:rPr>
        <w:t>3000</w:t>
      </w:r>
      <w:r>
        <w:rPr>
          <w:sz w:val="21"/>
        </w:rPr>
        <w:t>平方米</w:t>
      </w:r>
      <w:r>
        <w:rPr>
          <w:sz w:val="21"/>
        </w:rPr>
        <w:t>/</w:t>
      </w:r>
      <w:r>
        <w:rPr>
          <w:sz w:val="21"/>
        </w:rPr>
        <w:t>人，二级：不低于</w:t>
      </w:r>
      <w:r>
        <w:rPr>
          <w:sz w:val="21"/>
        </w:rPr>
        <w:t>5500</w:t>
      </w:r>
      <w:r>
        <w:rPr>
          <w:sz w:val="21"/>
        </w:rPr>
        <w:t>平方米</w:t>
      </w:r>
      <w:r>
        <w:rPr>
          <w:sz w:val="21"/>
        </w:rPr>
        <w:t>/</w:t>
      </w:r>
      <w:r>
        <w:rPr>
          <w:sz w:val="21"/>
        </w:rPr>
        <w:t>人），女性年满</w:t>
      </w:r>
      <w:r>
        <w:rPr>
          <w:sz w:val="21"/>
        </w:rPr>
        <w:t>18</w:t>
      </w:r>
      <w:r>
        <w:rPr>
          <w:sz w:val="21"/>
        </w:rPr>
        <w:t>周岁以上</w:t>
      </w:r>
      <w:r>
        <w:rPr>
          <w:sz w:val="21"/>
        </w:rPr>
        <w:t>50</w:t>
      </w:r>
      <w:r>
        <w:rPr>
          <w:sz w:val="21"/>
        </w:rPr>
        <w:t>周岁以下，男性年满</w:t>
      </w:r>
      <w:r>
        <w:rPr>
          <w:sz w:val="21"/>
        </w:rPr>
        <w:t>18</w:t>
      </w:r>
      <w:r>
        <w:rPr>
          <w:sz w:val="21"/>
        </w:rPr>
        <w:t>周岁以上</w:t>
      </w:r>
      <w:r>
        <w:rPr>
          <w:sz w:val="21"/>
        </w:rPr>
        <w:t>60</w:t>
      </w:r>
      <w:r>
        <w:rPr>
          <w:sz w:val="21"/>
        </w:rPr>
        <w:t>周岁以下，须具备相应的专业技能，能熟练掌握各种园林器械使用方法和各类造型植物修剪技术，至少须包含中级或以上绿化工</w:t>
      </w:r>
      <w:r>
        <w:rPr>
          <w:sz w:val="21"/>
        </w:rPr>
        <w:t>2</w:t>
      </w:r>
      <w:r>
        <w:rPr>
          <w:sz w:val="21"/>
        </w:rPr>
        <w:t>名、中级或以上花卉工</w:t>
      </w:r>
      <w:r>
        <w:rPr>
          <w:sz w:val="21"/>
        </w:rPr>
        <w:t>2</w:t>
      </w:r>
      <w:r>
        <w:rPr>
          <w:sz w:val="21"/>
        </w:rPr>
        <w:t>名、中级或以上植保工</w:t>
      </w:r>
      <w:r>
        <w:rPr>
          <w:sz w:val="21"/>
        </w:rPr>
        <w:t>2</w:t>
      </w:r>
      <w:r>
        <w:rPr>
          <w:sz w:val="21"/>
        </w:rPr>
        <w:t>名、土壤检测（或土壤普查）人员</w:t>
      </w:r>
      <w:r>
        <w:rPr>
          <w:sz w:val="21"/>
        </w:rPr>
        <w:t>1</w:t>
      </w:r>
      <w:r>
        <w:rPr>
          <w:sz w:val="21"/>
        </w:rPr>
        <w:t>名。</w:t>
      </w:r>
    </w:p>
    <w:p>
      <w:pPr>
        <w:ind w:firstLine="420"/>
        <w:jc w:val="both"/>
      </w:pPr>
      <w:r>
        <w:rPr>
          <w:sz w:val="21"/>
        </w:rPr>
        <w:t>5.</w:t>
      </w:r>
      <w:r>
        <w:rPr>
          <w:sz w:val="21"/>
        </w:rPr>
        <w:t>卫生保洁人员要求：本项目需参照《广州市公园管理规范》配备卫生保洁人员（硬地不低于</w:t>
      </w:r>
      <w:r>
        <w:rPr>
          <w:sz w:val="21"/>
        </w:rPr>
        <w:t>3000</w:t>
      </w:r>
      <w:r>
        <w:rPr>
          <w:sz w:val="21"/>
        </w:rPr>
        <w:t>平方米</w:t>
      </w:r>
      <w:r>
        <w:rPr>
          <w:sz w:val="21"/>
        </w:rPr>
        <w:t>/</w:t>
      </w:r>
      <w:r>
        <w:rPr>
          <w:sz w:val="21"/>
        </w:rPr>
        <w:t>人），须具有较丰富的卫生保洁工作经验，有专职的管理人员，有一定数量的熟手技工，能较好地领会管理意图，确保全园的景观效果和卫生保洁质量。</w:t>
      </w:r>
    </w:p>
    <w:p>
      <w:pPr>
        <w:ind w:firstLine="420"/>
        <w:jc w:val="both"/>
      </w:pPr>
      <w:r>
        <w:rPr>
          <w:sz w:val="21"/>
        </w:rPr>
        <w:t>6.</w:t>
      </w:r>
      <w:r>
        <w:rPr>
          <w:sz w:val="21"/>
        </w:rPr>
        <w:t>除四害人员要求：</w:t>
      </w:r>
    </w:p>
    <w:p>
      <w:pPr>
        <w:ind w:firstLine="420"/>
        <w:jc w:val="both"/>
      </w:pPr>
      <w:r>
        <w:rPr>
          <w:sz w:val="21"/>
        </w:rPr>
        <w:t>（</w:t>
      </w:r>
      <w:r>
        <w:rPr>
          <w:sz w:val="21"/>
        </w:rPr>
        <w:t>1</w:t>
      </w:r>
      <w:r>
        <w:rPr>
          <w:sz w:val="21"/>
        </w:rPr>
        <w:t>）管理人员要求：在本项目服务期内，乙方必须长期派驻不少于</w:t>
      </w:r>
      <w:r>
        <w:rPr>
          <w:sz w:val="21"/>
        </w:rPr>
        <w:t>1</w:t>
      </w:r>
      <w:r>
        <w:rPr>
          <w:sz w:val="21"/>
        </w:rPr>
        <w:t>名持有害生物防制相关中级或以上证书的专业消杀工作管理人员，须具有丰富的除四害工作管理经验，政治素质良好。</w:t>
      </w:r>
    </w:p>
    <w:p>
      <w:pPr>
        <w:ind w:firstLine="420"/>
        <w:jc w:val="both"/>
      </w:pPr>
      <w:r>
        <w:rPr>
          <w:sz w:val="21"/>
        </w:rPr>
        <w:t>（</w:t>
      </w:r>
      <w:r>
        <w:rPr>
          <w:sz w:val="21"/>
        </w:rPr>
        <w:t>2</w:t>
      </w:r>
      <w:r>
        <w:rPr>
          <w:sz w:val="21"/>
        </w:rPr>
        <w:t>）工作人员要求：在本项目服务期内，乙方须为本项目配备不少于</w:t>
      </w:r>
      <w:r>
        <w:rPr>
          <w:sz w:val="21"/>
        </w:rPr>
        <w:t>3</w:t>
      </w:r>
      <w:r>
        <w:rPr>
          <w:sz w:val="21"/>
        </w:rPr>
        <w:t>名持有害生物防制相关初级或以上证书的长期工作人员，须具有除四害工作经验，技术熟练，政治素质良好。</w:t>
      </w:r>
    </w:p>
    <w:p>
      <w:pPr>
        <w:ind w:firstLine="420"/>
        <w:jc w:val="both"/>
      </w:pPr>
      <w:r>
        <w:rPr>
          <w:sz w:val="21"/>
        </w:rPr>
        <w:t>（</w:t>
      </w:r>
      <w:r>
        <w:rPr>
          <w:sz w:val="21"/>
        </w:rPr>
        <w:t>3</w:t>
      </w:r>
      <w:r>
        <w:rPr>
          <w:sz w:val="21"/>
        </w:rPr>
        <w:t>）应急情况工作人员要求：在突发状况时或疫情发生时，乙方需成立应急工作队，人数不得少于</w:t>
      </w:r>
      <w:r>
        <w:rPr>
          <w:sz w:val="21"/>
        </w:rPr>
        <w:t>6</w:t>
      </w:r>
      <w:r>
        <w:rPr>
          <w:sz w:val="21"/>
        </w:rPr>
        <w:t>人。</w:t>
      </w:r>
    </w:p>
    <w:p>
      <w:pPr>
        <w:ind w:firstLine="420"/>
        <w:jc w:val="both"/>
      </w:pPr>
      <w:r>
        <w:rPr>
          <w:sz w:val="21"/>
        </w:rPr>
        <w:t>7.</w:t>
      </w:r>
      <w:r>
        <w:rPr>
          <w:sz w:val="21"/>
        </w:rPr>
        <w:t>白蚁防治人员要求：</w:t>
      </w:r>
    </w:p>
    <w:p>
      <w:pPr>
        <w:ind w:firstLine="420"/>
        <w:jc w:val="both"/>
      </w:pPr>
      <w:r>
        <w:rPr>
          <w:sz w:val="21"/>
        </w:rPr>
        <w:t>（</w:t>
      </w:r>
      <w:r>
        <w:rPr>
          <w:sz w:val="21"/>
        </w:rPr>
        <w:t>1</w:t>
      </w:r>
      <w:r>
        <w:rPr>
          <w:sz w:val="21"/>
        </w:rPr>
        <w:t>）管理人员要求：在本项目服务期内，乙方必须长期派驻不少于</w:t>
      </w:r>
      <w:r>
        <w:rPr>
          <w:sz w:val="21"/>
        </w:rPr>
        <w:t>1</w:t>
      </w:r>
      <w:r>
        <w:rPr>
          <w:sz w:val="21"/>
        </w:rPr>
        <w:t>名持白蚁防治或有害生物防制相关中级或以上证书的专业消杀工作管理人员，须具有丰富的白蚁防治工作管理经验，政治素质良好。</w:t>
      </w:r>
    </w:p>
    <w:p>
      <w:pPr>
        <w:ind w:firstLine="420"/>
        <w:jc w:val="both"/>
      </w:pPr>
      <w:r>
        <w:rPr>
          <w:sz w:val="21"/>
        </w:rPr>
        <w:t>（</w:t>
      </w:r>
      <w:r>
        <w:rPr>
          <w:sz w:val="21"/>
        </w:rPr>
        <w:t>2</w:t>
      </w:r>
      <w:r>
        <w:rPr>
          <w:sz w:val="21"/>
        </w:rPr>
        <w:t>）工作人员要求：在本项目服务期内，乙方须为本项目配备不少于</w:t>
      </w:r>
      <w:r>
        <w:rPr>
          <w:sz w:val="21"/>
        </w:rPr>
        <w:t>3</w:t>
      </w:r>
      <w:r>
        <w:rPr>
          <w:sz w:val="21"/>
        </w:rPr>
        <w:t>名持白蚁防治或有害生物防制相关初级或以上证书的长期工作人员，须具有白蚁防治工作经验，技术熟练，政治素质良好。</w:t>
      </w:r>
    </w:p>
    <w:p>
      <w:pPr>
        <w:ind w:firstLine="420"/>
        <w:jc w:val="both"/>
      </w:pPr>
      <w:r>
        <w:rPr>
          <w:sz w:val="21"/>
        </w:rPr>
        <w:t>（</w:t>
      </w:r>
      <w:r>
        <w:rPr>
          <w:sz w:val="21"/>
        </w:rPr>
        <w:t>3</w:t>
      </w:r>
      <w:r>
        <w:rPr>
          <w:sz w:val="21"/>
        </w:rPr>
        <w:t>）应急情况工作人员要求：在突发状况时或疫情发生时，乙方需成立应急工作队，人数不得少于</w:t>
      </w:r>
      <w:r>
        <w:rPr>
          <w:sz w:val="21"/>
        </w:rPr>
        <w:t>6</w:t>
      </w:r>
      <w:r>
        <w:rPr>
          <w:sz w:val="21"/>
        </w:rPr>
        <w:t>人。</w:t>
      </w:r>
    </w:p>
    <w:p>
      <w:pPr>
        <w:ind w:firstLine="420"/>
        <w:jc w:val="both"/>
      </w:pPr>
      <w:r>
        <w:rPr>
          <w:sz w:val="21"/>
        </w:rPr>
        <w:t>8.</w:t>
      </w:r>
      <w:r>
        <w:rPr>
          <w:sz w:val="21"/>
        </w:rPr>
        <w:t>人员配置要求：</w:t>
      </w:r>
    </w:p>
    <w:p>
      <w:pPr>
        <w:ind w:firstLine="420"/>
        <w:jc w:val="both"/>
      </w:pPr>
      <w:r>
        <w:rPr>
          <w:sz w:val="21"/>
        </w:rPr>
        <w:t>服务人员具体岗位设置如下：</w:t>
      </w:r>
    </w:p>
    <w:tbl>
      <w:tblPr>
        <w:tblW w:w="0" w:type="auto"/>
        <w:tblBorders>
          <w:top w:val="none" w:color="000000" w:sz="4"/>
          <w:left w:val="none" w:color="000000" w:sz="4"/>
          <w:bottom w:val="none" w:color="000000" w:sz="4"/>
          <w:right w:val="none" w:color="000000" w:sz="4"/>
          <w:insideH w:val="none"/>
          <w:insideV w:val="none"/>
        </w:tblBorders>
      </w:tblPr>
      <w:tblGrid>
        <w:gridCol w:w="660"/>
        <w:gridCol w:w="1391"/>
        <w:gridCol w:w="941"/>
        <w:gridCol w:w="815"/>
        <w:gridCol w:w="829"/>
        <w:gridCol w:w="772"/>
        <w:gridCol w:w="913"/>
        <w:gridCol w:w="927"/>
        <w:gridCol w:w="1011"/>
      </w:tblGrid>
      <w:tr>
        <w:tc>
          <w:tcPr>
            <w:tcW w:type="dxa" w:w="66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391"/>
            <w:tcBorders>
              <w:top w:val="single" w:color="000000" w:sz="4"/>
              <w:left w:val="none" w:color="000000" w:sz="4"/>
              <w:bottom w:val="single" w:color="000000" w:sz="4"/>
              <w:right w:val="single" w:color="000000" w:sz="4"/>
            </w:tcBorders>
            <w:vAlign w:val="top"/>
          </w:tcPr>
          <w:p>
            <w:pPr>
              <w:jc w:val="center"/>
            </w:pPr>
            <w:r>
              <w:rPr>
                <w:b/>
                <w:sz w:val="21"/>
              </w:rPr>
              <w:t>公园</w:t>
            </w:r>
            <w:r>
              <w:rPr>
                <w:b/>
                <w:sz w:val="21"/>
              </w:rPr>
              <w:t>名称</w:t>
            </w:r>
          </w:p>
        </w:tc>
        <w:tc>
          <w:tcPr>
            <w:tcW w:type="dxa" w:w="941"/>
            <w:tcBorders>
              <w:top w:val="single" w:color="000000" w:sz="4"/>
              <w:left w:val="none" w:color="000000" w:sz="4"/>
              <w:bottom w:val="single" w:color="000000" w:sz="4"/>
              <w:right w:val="single" w:color="000000" w:sz="4"/>
            </w:tcBorders>
            <w:vAlign w:val="top"/>
          </w:tcPr>
          <w:p>
            <w:pPr>
              <w:jc w:val="center"/>
            </w:pPr>
            <w:r>
              <w:rPr>
                <w:b/>
                <w:sz w:val="21"/>
              </w:rPr>
              <w:t>项目</w:t>
            </w:r>
            <w:r>
              <w:rPr>
                <w:b/>
                <w:sz w:val="21"/>
              </w:rPr>
              <w:t>负责人</w:t>
            </w:r>
          </w:p>
          <w:p>
            <w:pPr>
              <w:jc w:val="center"/>
            </w:pPr>
            <w:r>
              <w:rPr>
                <w:b/>
                <w:sz w:val="21"/>
              </w:rPr>
              <w:t>（名）</w:t>
            </w:r>
          </w:p>
        </w:tc>
        <w:tc>
          <w:tcPr>
            <w:tcW w:type="dxa" w:w="815"/>
            <w:tcBorders>
              <w:top w:val="single" w:color="000000" w:sz="4"/>
              <w:left w:val="none" w:color="000000" w:sz="4"/>
              <w:bottom w:val="single" w:color="000000" w:sz="4"/>
              <w:right w:val="single" w:color="000000" w:sz="4"/>
            </w:tcBorders>
            <w:vAlign w:val="top"/>
          </w:tcPr>
          <w:p>
            <w:pPr>
              <w:jc w:val="center"/>
            </w:pPr>
            <w:r>
              <w:rPr>
                <w:b/>
                <w:sz w:val="21"/>
              </w:rPr>
              <w:t>驻场主管（名）</w:t>
            </w:r>
          </w:p>
        </w:tc>
        <w:tc>
          <w:tcPr>
            <w:tcW w:type="dxa" w:w="829"/>
            <w:tcBorders>
              <w:top w:val="single" w:color="000000" w:sz="4"/>
              <w:left w:val="none" w:color="000000" w:sz="4"/>
              <w:bottom w:val="single" w:color="000000" w:sz="4"/>
              <w:right w:val="single" w:color="000000" w:sz="4"/>
            </w:tcBorders>
            <w:vAlign w:val="top"/>
          </w:tcPr>
          <w:p>
            <w:pPr>
              <w:jc w:val="center"/>
            </w:pPr>
            <w:r>
              <w:rPr>
                <w:b/>
                <w:sz w:val="21"/>
              </w:rPr>
              <w:t>绿化人员（名）</w:t>
            </w:r>
          </w:p>
        </w:tc>
        <w:tc>
          <w:tcPr>
            <w:tcW w:type="dxa" w:w="772"/>
            <w:tcBorders>
              <w:top w:val="single" w:color="000000" w:sz="4"/>
              <w:left w:val="none" w:color="000000" w:sz="4"/>
              <w:bottom w:val="single" w:color="000000" w:sz="4"/>
              <w:right w:val="single" w:color="000000" w:sz="4"/>
            </w:tcBorders>
            <w:vAlign w:val="top"/>
          </w:tcPr>
          <w:p>
            <w:pPr>
              <w:jc w:val="center"/>
            </w:pPr>
            <w:r>
              <w:rPr>
                <w:b/>
                <w:sz w:val="21"/>
              </w:rPr>
              <w:t>保洁人员（名）</w:t>
            </w:r>
          </w:p>
        </w:tc>
        <w:tc>
          <w:tcPr>
            <w:tcW w:type="dxa" w:w="913"/>
            <w:tcBorders>
              <w:top w:val="single" w:color="000000" w:sz="4"/>
              <w:left w:val="none" w:color="000000" w:sz="4"/>
              <w:bottom w:val="single" w:color="000000" w:sz="4"/>
              <w:right w:val="single" w:color="000000" w:sz="4"/>
            </w:tcBorders>
            <w:vAlign w:val="top"/>
          </w:tcPr>
          <w:p>
            <w:pPr>
              <w:jc w:val="center"/>
            </w:pPr>
            <w:r>
              <w:rPr>
                <w:b/>
                <w:sz w:val="21"/>
              </w:rPr>
              <w:t>除四害人员（名）</w:t>
            </w:r>
          </w:p>
        </w:tc>
        <w:tc>
          <w:tcPr>
            <w:tcW w:type="dxa" w:w="927"/>
            <w:tcBorders>
              <w:top w:val="single" w:color="000000" w:sz="4"/>
              <w:left w:val="none" w:color="000000" w:sz="4"/>
              <w:bottom w:val="single" w:color="000000" w:sz="4"/>
              <w:right w:val="single" w:color="000000" w:sz="4"/>
            </w:tcBorders>
            <w:vAlign w:val="top"/>
          </w:tcPr>
          <w:p>
            <w:pPr>
              <w:jc w:val="center"/>
            </w:pPr>
            <w:r>
              <w:rPr>
                <w:b/>
                <w:sz w:val="21"/>
              </w:rPr>
              <w:t>白蚁防治人员（名）</w:t>
            </w:r>
          </w:p>
        </w:tc>
        <w:tc>
          <w:tcPr>
            <w:tcW w:type="dxa" w:w="1011"/>
            <w:tcBorders>
              <w:top w:val="single" w:color="000000" w:sz="4"/>
              <w:left w:val="none" w:color="000000" w:sz="4"/>
              <w:bottom w:val="single" w:color="000000" w:sz="4"/>
              <w:right w:val="single" w:color="000000" w:sz="4"/>
            </w:tcBorders>
            <w:vAlign w:val="top"/>
          </w:tcPr>
          <w:p>
            <w:pPr>
              <w:jc w:val="center"/>
            </w:pPr>
            <w:r>
              <w:rPr>
                <w:b/>
                <w:sz w:val="21"/>
              </w:rPr>
              <w:t>合计（名）</w:t>
            </w:r>
          </w:p>
        </w:tc>
      </w:tr>
      <w:tr>
        <w:tc>
          <w:tcPr>
            <w:tcW w:type="dxa" w:w="66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91"/>
            <w:tcBorders>
              <w:top w:val="none" w:color="000000" w:sz="4"/>
              <w:left w:val="none" w:color="000000" w:sz="4"/>
              <w:bottom w:val="single" w:color="000000" w:sz="4"/>
              <w:right w:val="single" w:color="000000" w:sz="4"/>
            </w:tcBorders>
            <w:vAlign w:val="top"/>
          </w:tcPr>
          <w:p>
            <w:pPr>
              <w:jc w:val="center"/>
            </w:pPr>
            <w:r>
              <w:rPr>
                <w:sz w:val="21"/>
              </w:rPr>
              <w:t>尖峰岭公园</w:t>
            </w:r>
          </w:p>
        </w:tc>
        <w:tc>
          <w:tcPr>
            <w:tcW w:type="dxa" w:w="941"/>
            <w:vMerge w:val="restart"/>
            <w:tcBorders>
              <w:top w:val="none" w:color="000000" w:sz="4"/>
              <w:left w:val="none" w:color="000000" w:sz="4"/>
              <w:bottom w:val="single" w:color="000000" w:sz="4"/>
              <w:right w:val="single" w:color="000000" w:sz="4"/>
            </w:tcBorders>
            <w:vAlign w:val="top"/>
          </w:tcPr>
          <w:p>
            <w:pPr>
              <w:jc w:val="center"/>
            </w:pPr>
            <w:r>
              <w:rPr>
                <w:sz w:val="21"/>
              </w:rPr>
              <w:t>1</w:t>
            </w:r>
          </w:p>
        </w:tc>
        <w:tc>
          <w:tcPr>
            <w:tcW w:type="dxa" w:w="815"/>
            <w:vMerge w:val="restart"/>
            <w:tcBorders>
              <w:top w:val="none" w:color="000000" w:sz="4"/>
              <w:left w:val="none" w:color="000000" w:sz="4"/>
              <w:bottom w:val="single" w:color="000000" w:sz="4"/>
              <w:right w:val="single" w:color="000000" w:sz="4"/>
            </w:tcBorders>
            <w:vAlign w:val="top"/>
          </w:tcPr>
          <w:p>
            <w:pPr>
              <w:jc w:val="center"/>
            </w:pPr>
            <w:r>
              <w:rPr>
                <w:sz w:val="21"/>
              </w:rPr>
              <w:t>1</w:t>
            </w:r>
          </w:p>
        </w:tc>
        <w:tc>
          <w:tcPr>
            <w:tcW w:type="dxa" w:w="829"/>
            <w:tcBorders>
              <w:top w:val="none" w:color="000000" w:sz="4"/>
              <w:left w:val="none" w:color="000000" w:sz="4"/>
              <w:bottom w:val="single" w:color="000000" w:sz="4"/>
              <w:right w:val="single" w:color="000000" w:sz="4"/>
            </w:tcBorders>
            <w:vAlign w:val="top"/>
          </w:tcPr>
          <w:p>
            <w:pPr>
              <w:jc w:val="center"/>
            </w:pPr>
            <w:r>
              <w:rPr>
                <w:sz w:val="21"/>
              </w:rPr>
              <w:t>≥</w:t>
            </w:r>
            <w:r>
              <w:rPr>
                <w:sz w:val="21"/>
              </w:rPr>
              <w:t>20</w:t>
            </w:r>
          </w:p>
        </w:tc>
        <w:tc>
          <w:tcPr>
            <w:tcW w:type="dxa" w:w="772"/>
            <w:tcBorders>
              <w:top w:val="none" w:color="000000" w:sz="4"/>
              <w:left w:val="none" w:color="000000" w:sz="4"/>
              <w:bottom w:val="single" w:color="000000" w:sz="4"/>
              <w:right w:val="single" w:color="000000" w:sz="4"/>
            </w:tcBorders>
            <w:vAlign w:val="top"/>
          </w:tcPr>
          <w:p>
            <w:pPr>
              <w:jc w:val="center"/>
            </w:pPr>
            <w:r>
              <w:rPr>
                <w:sz w:val="21"/>
              </w:rPr>
              <w:t>≥</w:t>
            </w:r>
            <w:r>
              <w:rPr>
                <w:sz w:val="21"/>
              </w:rPr>
              <w:t>4</w:t>
            </w:r>
          </w:p>
        </w:tc>
        <w:tc>
          <w:tcPr>
            <w:tcW w:type="dxa" w:w="913"/>
            <w:vMerge w:val="restart"/>
            <w:tcBorders>
              <w:top w:val="none" w:color="000000" w:sz="4"/>
              <w:left w:val="none" w:color="000000" w:sz="4"/>
              <w:bottom w:val="single" w:color="000000" w:sz="4"/>
              <w:right w:val="single" w:color="000000" w:sz="4"/>
            </w:tcBorders>
            <w:vAlign w:val="top"/>
          </w:tcPr>
          <w:p>
            <w:pPr>
              <w:jc w:val="center"/>
            </w:pPr>
            <w:r>
              <w:rPr>
                <w:sz w:val="21"/>
              </w:rPr>
              <w:t>≥</w:t>
            </w:r>
            <w:r>
              <w:rPr>
                <w:sz w:val="21"/>
              </w:rPr>
              <w:t>4</w:t>
            </w:r>
          </w:p>
        </w:tc>
        <w:tc>
          <w:tcPr>
            <w:tcW w:type="dxa" w:w="927"/>
            <w:vMerge w:val="restart"/>
            <w:tcBorders>
              <w:top w:val="none" w:color="000000" w:sz="4"/>
              <w:left w:val="none" w:color="000000" w:sz="4"/>
              <w:bottom w:val="single" w:color="000000" w:sz="4"/>
              <w:right w:val="single" w:color="000000" w:sz="4"/>
            </w:tcBorders>
            <w:vAlign w:val="top"/>
          </w:tcPr>
          <w:p>
            <w:pPr>
              <w:jc w:val="center"/>
            </w:pPr>
            <w:r>
              <w:rPr>
                <w:sz w:val="21"/>
              </w:rPr>
              <w:t>≥</w:t>
            </w:r>
            <w:r>
              <w:rPr>
                <w:sz w:val="21"/>
              </w:rPr>
              <w:t>4</w:t>
            </w:r>
          </w:p>
        </w:tc>
        <w:tc>
          <w:tcPr>
            <w:tcW w:type="dxa" w:w="1011"/>
            <w:vMerge w:val="restart"/>
            <w:tcBorders>
              <w:top w:val="none" w:color="000000" w:sz="4"/>
              <w:left w:val="none" w:color="000000" w:sz="4"/>
              <w:bottom w:val="single" w:color="000000" w:sz="4"/>
              <w:right w:val="single" w:color="000000" w:sz="4"/>
            </w:tcBorders>
            <w:vAlign w:val="top"/>
          </w:tcPr>
          <w:p>
            <w:pPr>
              <w:jc w:val="center"/>
            </w:pPr>
            <w:r>
              <w:rPr>
                <w:sz w:val="21"/>
              </w:rPr>
              <w:t>≥</w:t>
            </w:r>
            <w:r>
              <w:rPr>
                <w:sz w:val="21"/>
              </w:rPr>
              <w:t>48</w:t>
            </w:r>
          </w:p>
        </w:tc>
      </w:tr>
      <w:tr>
        <w:tc>
          <w:tcPr>
            <w:tcW w:type="dxa" w:w="66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91"/>
            <w:tcBorders>
              <w:top w:val="none" w:color="000000" w:sz="4"/>
              <w:left w:val="none" w:color="000000" w:sz="4"/>
              <w:bottom w:val="single" w:color="000000" w:sz="4"/>
              <w:right w:val="single" w:color="000000" w:sz="4"/>
            </w:tcBorders>
            <w:vAlign w:val="top"/>
          </w:tcPr>
          <w:p>
            <w:pPr>
              <w:jc w:val="center"/>
            </w:pPr>
            <w:r>
              <w:rPr>
                <w:sz w:val="21"/>
              </w:rPr>
              <w:t>环山岭公园</w:t>
            </w:r>
          </w:p>
        </w:tc>
        <w:tc>
          <w:tcPr>
            <w:tcW w:type="dxa" w:w="941"/>
            <w:vMerge/>
            <w:tcBorders>
              <w:top w:val="none" w:color="000000" w:sz="4"/>
              <w:left w:val="non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vAlign w:val="top"/>
          </w:tcPr>
          <w:p>
            <w:pPr>
              <w:jc w:val="center"/>
            </w:pPr>
            <w:r>
              <w:rPr>
                <w:sz w:val="21"/>
              </w:rPr>
              <w:t>≥</w:t>
            </w:r>
            <w:r>
              <w:rPr>
                <w:sz w:val="21"/>
              </w:rPr>
              <w:t>4</w:t>
            </w:r>
          </w:p>
        </w:tc>
        <w:tc>
          <w:tcPr>
            <w:tcW w:type="dxa" w:w="772"/>
            <w:tcBorders>
              <w:top w:val="none" w:color="000000" w:sz="4"/>
              <w:left w:val="none" w:color="000000" w:sz="4"/>
              <w:bottom w:val="single" w:color="000000" w:sz="4"/>
              <w:right w:val="single" w:color="000000" w:sz="4"/>
            </w:tcBorders>
            <w:vAlign w:val="top"/>
          </w:tcPr>
          <w:p>
            <w:pPr>
              <w:jc w:val="center"/>
            </w:pPr>
            <w:r>
              <w:rPr>
                <w:sz w:val="21"/>
              </w:rPr>
              <w:t>≥</w:t>
            </w:r>
            <w:r>
              <w:rPr>
                <w:sz w:val="21"/>
              </w:rPr>
              <w:t>1</w:t>
            </w:r>
          </w:p>
        </w:tc>
      </w:tr>
      <w:tr>
        <w:tc>
          <w:tcPr>
            <w:tcW w:type="dxa" w:w="66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91"/>
            <w:tcBorders>
              <w:top w:val="none" w:color="000000" w:sz="4"/>
              <w:left w:val="none" w:color="000000" w:sz="4"/>
              <w:bottom w:val="single" w:color="000000" w:sz="4"/>
              <w:right w:val="single" w:color="000000" w:sz="4"/>
            </w:tcBorders>
            <w:vAlign w:val="top"/>
          </w:tcPr>
          <w:p>
            <w:pPr>
              <w:jc w:val="center"/>
            </w:pPr>
            <w:r>
              <w:rPr>
                <w:sz w:val="21"/>
              </w:rPr>
              <w:t>雅居乐西侧山体公园</w:t>
            </w:r>
          </w:p>
        </w:tc>
        <w:tc>
          <w:tcPr>
            <w:tcW w:type="dxa" w:w="941"/>
            <w:vMerge/>
            <w:tcBorders>
              <w:top w:val="none" w:color="000000" w:sz="4"/>
              <w:left w:val="non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vAlign w:val="top"/>
          </w:tcPr>
          <w:p>
            <w:pPr>
              <w:jc w:val="center"/>
            </w:pPr>
            <w:r>
              <w:rPr>
                <w:sz w:val="21"/>
              </w:rPr>
              <w:t>≥</w:t>
            </w:r>
            <w:r>
              <w:rPr>
                <w:sz w:val="21"/>
              </w:rPr>
              <w:t>4</w:t>
            </w:r>
          </w:p>
        </w:tc>
        <w:tc>
          <w:tcPr>
            <w:tcW w:type="dxa" w:w="772"/>
            <w:tcBorders>
              <w:top w:val="none" w:color="000000" w:sz="4"/>
              <w:left w:val="none" w:color="000000" w:sz="4"/>
              <w:bottom w:val="single" w:color="000000" w:sz="4"/>
              <w:right w:val="single" w:color="000000" w:sz="4"/>
            </w:tcBorders>
            <w:vAlign w:val="top"/>
          </w:tcPr>
          <w:p>
            <w:pPr>
              <w:jc w:val="center"/>
            </w:pPr>
            <w:r>
              <w:rPr>
                <w:sz w:val="21"/>
              </w:rPr>
              <w:t>≥</w:t>
            </w:r>
            <w:r>
              <w:rPr>
                <w:sz w:val="21"/>
              </w:rPr>
              <w:t>5</w:t>
            </w:r>
          </w:p>
        </w:tc>
      </w:tr>
      <w:tr>
        <w:tc>
          <w:tcPr>
            <w:tcW w:type="dxa" w:w="2051"/>
            <w:gridSpan w:val="2"/>
            <w:tcBorders>
              <w:top w:val="none" w:color="000000" w:sz="4"/>
              <w:left w:val="single" w:color="000000" w:sz="4"/>
              <w:bottom w:val="single" w:color="000000" w:sz="4"/>
              <w:right w:val="single" w:color="000000" w:sz="4"/>
            </w:tcBorders>
            <w:vAlign w:val="top"/>
          </w:tcPr>
          <w:p>
            <w:pPr>
              <w:jc w:val="center"/>
            </w:pPr>
            <w:r>
              <w:rPr>
                <w:b/>
                <w:sz w:val="21"/>
              </w:rPr>
              <w:t>合计</w:t>
            </w:r>
          </w:p>
        </w:tc>
        <w:tc>
          <w:tcPr>
            <w:tcW w:type="dxa" w:w="941"/>
            <w:tcBorders>
              <w:top w:val="none" w:color="000000" w:sz="4"/>
              <w:left w:val="none" w:color="000000" w:sz="4"/>
              <w:bottom w:val="single" w:color="000000" w:sz="4"/>
              <w:right w:val="single" w:color="000000" w:sz="4"/>
            </w:tcBorders>
            <w:vAlign w:val="top"/>
          </w:tcPr>
          <w:p>
            <w:pPr>
              <w:jc w:val="center"/>
            </w:pPr>
            <w:r>
              <w:rPr>
                <w:sz w:val="21"/>
              </w:rPr>
              <w:t>1</w:t>
            </w:r>
          </w:p>
        </w:tc>
        <w:tc>
          <w:tcPr>
            <w:tcW w:type="dxa" w:w="815"/>
            <w:tcBorders>
              <w:top w:val="none" w:color="000000" w:sz="4"/>
              <w:left w:val="none" w:color="000000" w:sz="4"/>
              <w:bottom w:val="single" w:color="000000" w:sz="4"/>
              <w:right w:val="single" w:color="000000" w:sz="4"/>
            </w:tcBorders>
            <w:vAlign w:val="top"/>
          </w:tcPr>
          <w:p>
            <w:pPr>
              <w:jc w:val="center"/>
            </w:pPr>
            <w:r>
              <w:rPr>
                <w:sz w:val="21"/>
              </w:rPr>
              <w:t>1</w:t>
            </w:r>
          </w:p>
        </w:tc>
        <w:tc>
          <w:tcPr>
            <w:tcW w:type="dxa" w:w="829"/>
            <w:tcBorders>
              <w:top w:val="none" w:color="000000" w:sz="4"/>
              <w:left w:val="none" w:color="000000" w:sz="4"/>
              <w:bottom w:val="single" w:color="000000" w:sz="4"/>
              <w:right w:val="single" w:color="000000" w:sz="4"/>
            </w:tcBorders>
            <w:vAlign w:val="top"/>
          </w:tcPr>
          <w:p>
            <w:pPr>
              <w:jc w:val="center"/>
            </w:pPr>
            <w:r>
              <w:rPr>
                <w:sz w:val="21"/>
              </w:rPr>
              <w:t>≥</w:t>
            </w:r>
            <w:r>
              <w:rPr>
                <w:sz w:val="21"/>
              </w:rPr>
              <w:t>28</w:t>
            </w:r>
          </w:p>
        </w:tc>
        <w:tc>
          <w:tcPr>
            <w:tcW w:type="dxa" w:w="772"/>
            <w:tcBorders>
              <w:top w:val="none" w:color="000000" w:sz="4"/>
              <w:left w:val="none" w:color="000000" w:sz="4"/>
              <w:bottom w:val="single" w:color="000000" w:sz="4"/>
              <w:right w:val="single" w:color="000000" w:sz="4"/>
            </w:tcBorders>
            <w:vAlign w:val="top"/>
          </w:tcPr>
          <w:p>
            <w:pPr>
              <w:jc w:val="center"/>
            </w:pPr>
            <w:r>
              <w:rPr>
                <w:sz w:val="21"/>
              </w:rPr>
              <w:t>≥</w:t>
            </w:r>
            <w:r>
              <w:rPr>
                <w:sz w:val="21"/>
              </w:rPr>
              <w:t>10</w:t>
            </w:r>
          </w:p>
        </w:tc>
        <w:tc>
          <w:tcPr>
            <w:tcW w:type="dxa" w:w="913"/>
            <w:tcBorders>
              <w:top w:val="none" w:color="000000" w:sz="4"/>
              <w:left w:val="none" w:color="000000" w:sz="4"/>
              <w:bottom w:val="single" w:color="000000" w:sz="4"/>
              <w:right w:val="single" w:color="000000" w:sz="4"/>
            </w:tcBorders>
            <w:vAlign w:val="top"/>
          </w:tcPr>
          <w:p>
            <w:pPr>
              <w:jc w:val="center"/>
            </w:pPr>
            <w:r>
              <w:rPr>
                <w:sz w:val="21"/>
              </w:rPr>
              <w:t>≥</w:t>
            </w:r>
            <w:r>
              <w:rPr>
                <w:sz w:val="21"/>
              </w:rPr>
              <w:t>4</w:t>
            </w:r>
          </w:p>
        </w:tc>
        <w:tc>
          <w:tcPr>
            <w:tcW w:type="dxa" w:w="927"/>
            <w:tcBorders>
              <w:top w:val="none" w:color="000000" w:sz="4"/>
              <w:left w:val="none" w:color="000000" w:sz="4"/>
              <w:bottom w:val="single" w:color="000000" w:sz="4"/>
              <w:right w:val="single" w:color="000000" w:sz="4"/>
            </w:tcBorders>
            <w:vAlign w:val="top"/>
          </w:tcPr>
          <w:p>
            <w:pPr>
              <w:jc w:val="center"/>
            </w:pPr>
            <w:r>
              <w:rPr>
                <w:sz w:val="21"/>
              </w:rPr>
              <w:t>≥</w:t>
            </w:r>
            <w:r>
              <w:rPr>
                <w:sz w:val="21"/>
              </w:rPr>
              <w:t>4</w:t>
            </w:r>
          </w:p>
        </w:tc>
        <w:tc>
          <w:tcPr>
            <w:tcW w:type="dxa" w:w="1011"/>
            <w:tcBorders>
              <w:top w:val="none" w:color="000000" w:sz="4"/>
              <w:left w:val="none" w:color="000000" w:sz="4"/>
              <w:bottom w:val="single" w:color="000000" w:sz="4"/>
              <w:right w:val="single" w:color="000000" w:sz="4"/>
            </w:tcBorders>
            <w:vAlign w:val="top"/>
          </w:tcPr>
          <w:p>
            <w:pPr>
              <w:jc w:val="center"/>
            </w:pPr>
            <w:r>
              <w:rPr>
                <w:sz w:val="21"/>
              </w:rPr>
              <w:t>≥</w:t>
            </w:r>
            <w:r>
              <w:rPr>
                <w:sz w:val="21"/>
              </w:rPr>
              <w:t>48</w:t>
            </w:r>
          </w:p>
        </w:tc>
      </w:tr>
    </w:tbl>
    <w:p>
      <w:pPr>
        <w:ind w:firstLine="420"/>
        <w:jc w:val="both"/>
      </w:pPr>
      <w:r>
        <w:rPr>
          <w:sz w:val="21"/>
        </w:rPr>
        <w:t>（</w:t>
      </w:r>
      <w:r>
        <w:rPr>
          <w:sz w:val="21"/>
        </w:rPr>
        <w:t>1</w:t>
      </w:r>
      <w:r>
        <w:rPr>
          <w:sz w:val="21"/>
        </w:rPr>
        <w:t>）以上表中的人力配备为最低配置，甲方可根据实际工作需要要求乙方增配人员（但费用包含在合同总价内）。</w:t>
      </w:r>
    </w:p>
    <w:p>
      <w:pPr>
        <w:ind w:firstLine="420"/>
        <w:jc w:val="both"/>
      </w:pPr>
      <w:r>
        <w:rPr>
          <w:sz w:val="21"/>
        </w:rPr>
        <w:t>（</w:t>
      </w:r>
      <w:r>
        <w:rPr>
          <w:sz w:val="21"/>
        </w:rPr>
        <w:t>2</w:t>
      </w:r>
      <w:r>
        <w:rPr>
          <w:sz w:val="21"/>
        </w:rPr>
        <w:t>）各服务人员的职责和要求，由甲方和乙方共同制定并严格执行。</w:t>
      </w:r>
    </w:p>
    <w:p>
      <w:pPr>
        <w:ind w:firstLine="420"/>
        <w:jc w:val="both"/>
      </w:pPr>
      <w:r>
        <w:rPr>
          <w:sz w:val="21"/>
        </w:rPr>
        <w:t>（四）工作人员待遇要求</w:t>
      </w:r>
    </w:p>
    <w:p>
      <w:pPr>
        <w:ind w:firstLine="420"/>
        <w:jc w:val="both"/>
      </w:pPr>
      <w:r>
        <w:rPr>
          <w:sz w:val="21"/>
        </w:rPr>
        <w:t>1.</w:t>
      </w:r>
      <w:r>
        <w:rPr>
          <w:sz w:val="21"/>
        </w:rPr>
        <w:t>乙方应按照《中华人民共和国劳动法》的相关规定发放工资，服务人员工资不得低于广州市企业职工最低工资标准（工资不含按国家规定必须由乙方缴纳的社会保险费用及其他应付费用）。</w:t>
      </w:r>
    </w:p>
    <w:p>
      <w:pPr>
        <w:ind w:firstLine="420"/>
        <w:jc w:val="both"/>
      </w:pPr>
      <w:r>
        <w:rPr>
          <w:sz w:val="21"/>
        </w:rPr>
        <w:t>2.</w:t>
      </w:r>
      <w:r>
        <w:rPr>
          <w:sz w:val="21"/>
        </w:rPr>
        <w:t>乙方应按照《中华人民共和国社会保险法》和《住房公积金管理条例》的相关规定，为服务人员缴纳国家规定必须缴纳的社会保险费用（基本养老保险、基本医疗保险、工伤保险、失业保险、生育保险）和缴存住房公积金。</w:t>
      </w:r>
    </w:p>
    <w:p>
      <w:pPr>
        <w:ind w:firstLine="420"/>
        <w:jc w:val="both"/>
      </w:pPr>
      <w:r>
        <w:rPr>
          <w:sz w:val="21"/>
        </w:rPr>
        <w:t>3.</w:t>
      </w:r>
      <w:r>
        <w:rPr>
          <w:sz w:val="21"/>
        </w:rPr>
        <w:t>乙方完全遵守《中华人民共和国劳动合同法》有关规定和《中华人民共和国妇女权益保障法》中关于</w:t>
      </w:r>
      <w:r>
        <w:rPr>
          <w:sz w:val="21"/>
        </w:rPr>
        <w:t>“</w:t>
      </w:r>
      <w:r>
        <w:rPr>
          <w:sz w:val="21"/>
        </w:rPr>
        <w:t>劳动和社会保障权益</w:t>
      </w:r>
      <w:r>
        <w:rPr>
          <w:sz w:val="21"/>
        </w:rPr>
        <w:t>”</w:t>
      </w:r>
      <w:r>
        <w:rPr>
          <w:sz w:val="21"/>
        </w:rPr>
        <w:t>的有关要求。</w:t>
      </w:r>
    </w:p>
    <w:p>
      <w:pPr>
        <w:ind w:firstLine="420"/>
        <w:jc w:val="both"/>
      </w:pPr>
      <w:r>
        <w:rPr>
          <w:sz w:val="21"/>
        </w:rPr>
        <w:t>4.</w:t>
      </w:r>
      <w:r>
        <w:rPr>
          <w:sz w:val="21"/>
        </w:rPr>
        <w:t>乙方需为派驻本项目的服务人员购买意外险，确保服务人员在作业期间遇到伤亡事故时能够获得应有的保障。</w:t>
      </w:r>
    </w:p>
    <w:p>
      <w:pPr>
        <w:ind w:firstLine="420"/>
        <w:jc w:val="both"/>
      </w:pPr>
      <w:r>
        <w:rPr>
          <w:sz w:val="21"/>
        </w:rPr>
        <w:t>5.</w:t>
      </w:r>
      <w:r>
        <w:rPr>
          <w:sz w:val="21"/>
        </w:rPr>
        <w:t>乙方按相关文件规定为派驻本项目的所有服务人员缴纳社保及购买一切相关保险后，需将相关资料送交甲方备案。</w:t>
      </w:r>
    </w:p>
    <w:p>
      <w:pPr>
        <w:ind w:firstLine="420"/>
        <w:jc w:val="both"/>
      </w:pPr>
      <w:r>
        <w:rPr>
          <w:sz w:val="21"/>
        </w:rPr>
        <w:t>6.</w:t>
      </w:r>
      <w:r>
        <w:rPr>
          <w:sz w:val="21"/>
        </w:rPr>
        <w:t>在项目服务期内，因用工引起的劳动纠纷问题由乙方负责解决。</w:t>
      </w:r>
    </w:p>
    <w:p>
      <w:pPr>
        <w:ind w:firstLine="420"/>
        <w:jc w:val="both"/>
      </w:pPr>
      <w:r>
        <w:rPr>
          <w:sz w:val="21"/>
        </w:rPr>
        <w:t>7.</w:t>
      </w:r>
      <w:r>
        <w:rPr>
          <w:sz w:val="21"/>
        </w:rPr>
        <w:t>如乙方不予执行以上所有条款，则视为违约。</w:t>
      </w:r>
    </w:p>
    <w:p>
      <w:pPr>
        <w:ind w:firstLine="420"/>
        <w:jc w:val="both"/>
      </w:pPr>
      <w:r>
        <w:rPr>
          <w:sz w:val="21"/>
        </w:rPr>
        <w:t>（五）服务质量指标要求</w:t>
      </w:r>
    </w:p>
    <w:p>
      <w:pPr>
        <w:jc w:val="both"/>
      </w:pPr>
      <w:r>
        <w:rPr>
          <w:sz w:val="21"/>
        </w:rPr>
        <w:t>参照《广州市公园条例》、《广州市公园管理规范》、国家及地方颁布的法律法规和相关标准，结合自身管理服务水平，乙方需具体承诺各服务项目要达到的指标，包括但不限于：</w:t>
      </w:r>
    </w:p>
    <w:p>
      <w:pPr>
        <w:ind w:firstLine="420"/>
        <w:jc w:val="both"/>
      </w:pPr>
      <w:r>
        <w:rPr>
          <w:sz w:val="21"/>
        </w:rPr>
        <w:t>1.</w:t>
      </w:r>
      <w:r>
        <w:rPr>
          <w:sz w:val="21"/>
        </w:rPr>
        <w:t>绿化完好率</w:t>
      </w:r>
      <w:r>
        <w:rPr>
          <w:sz w:val="21"/>
        </w:rPr>
        <w:t>95%</w:t>
      </w:r>
      <w:r>
        <w:rPr>
          <w:sz w:val="21"/>
        </w:rPr>
        <w:t>以上（绿化完好面积</w:t>
      </w:r>
      <w:r>
        <w:rPr>
          <w:sz w:val="21"/>
        </w:rPr>
        <w:t>/</w:t>
      </w:r>
      <w:r>
        <w:rPr>
          <w:sz w:val="21"/>
        </w:rPr>
        <w:t>公园绿化面积</w:t>
      </w:r>
      <w:r>
        <w:rPr>
          <w:sz w:val="21"/>
        </w:rPr>
        <w:t>≥95%</w:t>
      </w:r>
      <w:r>
        <w:rPr>
          <w:sz w:val="21"/>
        </w:rPr>
        <w:t>）；</w:t>
      </w:r>
    </w:p>
    <w:p>
      <w:pPr>
        <w:ind w:firstLine="420"/>
        <w:jc w:val="both"/>
      </w:pPr>
      <w:r>
        <w:rPr>
          <w:sz w:val="21"/>
        </w:rPr>
        <w:t>2.</w:t>
      </w:r>
      <w:r>
        <w:rPr>
          <w:sz w:val="21"/>
        </w:rPr>
        <w:t>清洁率</w:t>
      </w:r>
      <w:r>
        <w:rPr>
          <w:sz w:val="21"/>
        </w:rPr>
        <w:t>98%</w:t>
      </w:r>
      <w:r>
        <w:rPr>
          <w:sz w:val="21"/>
        </w:rPr>
        <w:t>以上（洁净面积</w:t>
      </w:r>
      <w:r>
        <w:rPr>
          <w:sz w:val="21"/>
        </w:rPr>
        <w:t>/(</w:t>
      </w:r>
      <w:r>
        <w:rPr>
          <w:sz w:val="21"/>
        </w:rPr>
        <w:t>公园占地面积</w:t>
      </w:r>
      <w:r>
        <w:rPr>
          <w:sz w:val="21"/>
        </w:rPr>
        <w:t>+</w:t>
      </w:r>
      <w:r>
        <w:rPr>
          <w:sz w:val="21"/>
        </w:rPr>
        <w:t>建筑面积</w:t>
      </w:r>
      <w:r>
        <w:rPr>
          <w:sz w:val="21"/>
        </w:rPr>
        <w:t>)≥98%</w:t>
      </w:r>
      <w:r>
        <w:rPr>
          <w:sz w:val="21"/>
        </w:rPr>
        <w:t>）；</w:t>
      </w:r>
    </w:p>
    <w:p>
      <w:pPr>
        <w:ind w:firstLine="420"/>
        <w:jc w:val="both"/>
      </w:pPr>
      <w:r>
        <w:rPr>
          <w:sz w:val="21"/>
        </w:rPr>
        <w:t>3.</w:t>
      </w:r>
      <w:r>
        <w:rPr>
          <w:sz w:val="21"/>
        </w:rPr>
        <w:t>雨水井、污水井完好；</w:t>
      </w:r>
    </w:p>
    <w:p>
      <w:pPr>
        <w:ind w:firstLine="420"/>
        <w:jc w:val="both"/>
      </w:pPr>
      <w:r>
        <w:rPr>
          <w:sz w:val="21"/>
        </w:rPr>
        <w:t>4.</w:t>
      </w:r>
      <w:r>
        <w:rPr>
          <w:sz w:val="21"/>
        </w:rPr>
        <w:t>排水管、明暗沟完好；</w:t>
      </w:r>
    </w:p>
    <w:p>
      <w:pPr>
        <w:ind w:firstLine="420"/>
        <w:jc w:val="both"/>
      </w:pPr>
      <w:r>
        <w:rPr>
          <w:sz w:val="21"/>
        </w:rPr>
        <w:t>5.</w:t>
      </w:r>
      <w:r>
        <w:rPr>
          <w:sz w:val="21"/>
        </w:rPr>
        <w:t>配套设施完好；</w:t>
      </w:r>
    </w:p>
    <w:p>
      <w:pPr>
        <w:ind w:firstLine="420"/>
        <w:jc w:val="both"/>
      </w:pPr>
      <w:r>
        <w:rPr>
          <w:sz w:val="21"/>
        </w:rPr>
        <w:t>6.</w:t>
      </w:r>
      <w:r>
        <w:rPr>
          <w:sz w:val="21"/>
        </w:rPr>
        <w:t>达到《广州有害生物防制服务行业管理办法》有关要求；</w:t>
      </w:r>
    </w:p>
    <w:p>
      <w:pPr>
        <w:ind w:firstLine="420"/>
        <w:jc w:val="both"/>
      </w:pPr>
      <w:r>
        <w:rPr>
          <w:sz w:val="21"/>
        </w:rPr>
        <w:t>7.</w:t>
      </w:r>
      <w:r>
        <w:rPr>
          <w:sz w:val="21"/>
        </w:rPr>
        <w:t>公园每月白蚁迹象不得超过</w:t>
      </w:r>
      <w:r>
        <w:rPr>
          <w:sz w:val="21"/>
        </w:rPr>
        <w:t>5</w:t>
      </w:r>
      <w:r>
        <w:rPr>
          <w:sz w:val="21"/>
        </w:rPr>
        <w:t>处，且最严重受害程度不超过</w:t>
      </w:r>
      <w:r>
        <w:rPr>
          <w:sz w:val="21"/>
        </w:rPr>
        <w:t>8%</w:t>
      </w:r>
      <w:r>
        <w:rPr>
          <w:sz w:val="21"/>
        </w:rPr>
        <w:t>；</w:t>
      </w:r>
    </w:p>
    <w:p>
      <w:pPr>
        <w:ind w:firstLine="420"/>
        <w:jc w:val="both"/>
      </w:pPr>
      <w:r>
        <w:rPr>
          <w:sz w:val="21"/>
        </w:rPr>
        <w:t>8.</w:t>
      </w:r>
      <w:r>
        <w:rPr>
          <w:sz w:val="21"/>
        </w:rPr>
        <w:t>责任治安事故：</w:t>
      </w:r>
      <w:r>
        <w:rPr>
          <w:sz w:val="21"/>
        </w:rPr>
        <w:t>0</w:t>
      </w:r>
      <w:r>
        <w:rPr>
          <w:sz w:val="21"/>
        </w:rPr>
        <w:t>；</w:t>
      </w:r>
    </w:p>
    <w:p>
      <w:pPr>
        <w:ind w:firstLine="420"/>
        <w:jc w:val="both"/>
      </w:pPr>
      <w:r>
        <w:rPr>
          <w:sz w:val="21"/>
        </w:rPr>
        <w:t>9.</w:t>
      </w:r>
      <w:r>
        <w:rPr>
          <w:sz w:val="21"/>
        </w:rPr>
        <w:t>责任消防事故：</w:t>
      </w:r>
      <w:r>
        <w:rPr>
          <w:sz w:val="21"/>
        </w:rPr>
        <w:t>0</w:t>
      </w:r>
      <w:r>
        <w:rPr>
          <w:sz w:val="21"/>
        </w:rPr>
        <w:t>；</w:t>
      </w:r>
    </w:p>
    <w:p>
      <w:pPr>
        <w:ind w:firstLine="420"/>
        <w:jc w:val="both"/>
      </w:pPr>
      <w:r>
        <w:rPr>
          <w:sz w:val="21"/>
        </w:rPr>
        <w:t>10.</w:t>
      </w:r>
      <w:r>
        <w:rPr>
          <w:sz w:val="21"/>
        </w:rPr>
        <w:t>甲方投诉处理率</w:t>
      </w:r>
      <w:r>
        <w:rPr>
          <w:sz w:val="21"/>
        </w:rPr>
        <w:t>100%</w:t>
      </w:r>
      <w:r>
        <w:rPr>
          <w:sz w:val="21"/>
        </w:rPr>
        <w:t>，甲方投诉处理满意率</w:t>
      </w:r>
      <w:r>
        <w:rPr>
          <w:sz w:val="21"/>
        </w:rPr>
        <w:t>95%</w:t>
      </w:r>
      <w:r>
        <w:rPr>
          <w:sz w:val="21"/>
        </w:rPr>
        <w:t>以上；</w:t>
      </w:r>
    </w:p>
    <w:p>
      <w:pPr>
        <w:ind w:firstLine="420"/>
        <w:jc w:val="both"/>
      </w:pPr>
      <w:r>
        <w:rPr>
          <w:sz w:val="21"/>
        </w:rPr>
        <w:t>11.</w:t>
      </w:r>
      <w:r>
        <w:rPr>
          <w:sz w:val="21"/>
        </w:rPr>
        <w:t>甲方每月对乙方的服务工作情况考核评分在</w:t>
      </w:r>
      <w:r>
        <w:rPr>
          <w:sz w:val="21"/>
        </w:rPr>
        <w:t>90</w:t>
      </w:r>
      <w:r>
        <w:rPr>
          <w:sz w:val="21"/>
        </w:rPr>
        <w:t>分以上；</w:t>
      </w:r>
    </w:p>
    <w:p>
      <w:pPr>
        <w:ind w:firstLine="420"/>
        <w:jc w:val="both"/>
      </w:pPr>
      <w:r>
        <w:rPr>
          <w:sz w:val="21"/>
        </w:rPr>
        <w:t>12.</w:t>
      </w:r>
      <w:r>
        <w:rPr>
          <w:sz w:val="21"/>
        </w:rPr>
        <w:t>乙方为完成承诺指标采取的措施和拟承担的责任。</w:t>
      </w:r>
    </w:p>
    <w:p>
      <w:pPr>
        <w:ind w:firstLine="420"/>
        <w:jc w:val="both"/>
      </w:pPr>
      <w:r>
        <w:rPr>
          <w:sz w:val="21"/>
        </w:rPr>
        <w:t>（六）其他要求</w:t>
      </w:r>
    </w:p>
    <w:p>
      <w:pPr>
        <w:ind w:firstLine="420"/>
        <w:jc w:val="both"/>
      </w:pPr>
      <w:r>
        <w:rPr>
          <w:sz w:val="21"/>
        </w:rPr>
        <w:t>1.</w:t>
      </w:r>
      <w:r>
        <w:rPr>
          <w:sz w:val="21"/>
        </w:rPr>
        <w:t>乙方不得转包或分包项目内容，不能转移乙方的承包责任，如发现乙方擅自分包或转包，甲方可按合同违约条款终止合同，并扣除本合同金额的</w:t>
      </w:r>
      <w:r>
        <w:rPr>
          <w:sz w:val="21"/>
        </w:rPr>
        <w:t>10%</w:t>
      </w:r>
      <w:r>
        <w:rPr>
          <w:sz w:val="21"/>
        </w:rPr>
        <w:t>作为违约金，乙方应按甲方的要求无条件退场。</w:t>
      </w:r>
    </w:p>
    <w:p>
      <w:pPr>
        <w:ind w:firstLine="420"/>
        <w:jc w:val="both"/>
      </w:pPr>
      <w:r>
        <w:rPr>
          <w:sz w:val="21"/>
        </w:rPr>
        <w:t>2.</w:t>
      </w:r>
      <w:r>
        <w:rPr>
          <w:sz w:val="21"/>
        </w:rPr>
        <w:t>乙方必须按招标文件的要求与甲方签订合同。乙方违反合同规定的事项，视作乙方违约，甲方有权向乙方主张违约金，违约金在合同款额中扣除。</w:t>
      </w:r>
    </w:p>
    <w:p>
      <w:pPr>
        <w:ind w:firstLine="420"/>
        <w:jc w:val="both"/>
      </w:pPr>
      <w:r>
        <w:rPr>
          <w:sz w:val="21"/>
        </w:rPr>
        <w:t>3.</w:t>
      </w:r>
      <w:r>
        <w:rPr>
          <w:sz w:val="21"/>
        </w:rPr>
        <w:t>乙方必须向甲方提供详细的管理服务方案并报甲方审核（详细的公园绿化养护服务方案、卫生保洁服务方案、除四害及白蚁防治服务方案，包括工作思路、人员配备、公园布防安排、工作措施、应急处置预案、队伍建设、工作规范、人员稳定措施、监管措施与奖惩办法等相关管理制度），经审核同意后方可实施。</w:t>
      </w:r>
    </w:p>
    <w:p>
      <w:pPr>
        <w:ind w:firstLine="420"/>
        <w:jc w:val="both"/>
      </w:pPr>
      <w:r>
        <w:rPr>
          <w:sz w:val="21"/>
        </w:rPr>
        <w:t>4.</w:t>
      </w:r>
      <w:r>
        <w:rPr>
          <w:sz w:val="21"/>
        </w:rPr>
        <w:t>公园现场服务管理架构必须完整，管理架构必须满足公园日常管理需要。</w:t>
      </w:r>
    </w:p>
    <w:p>
      <w:pPr>
        <w:ind w:firstLine="420"/>
        <w:jc w:val="both"/>
      </w:pPr>
      <w:r>
        <w:rPr>
          <w:sz w:val="21"/>
        </w:rPr>
        <w:t>5.</w:t>
      </w:r>
      <w:r>
        <w:rPr>
          <w:sz w:val="21"/>
        </w:rPr>
        <w:t>在项目服务期内，如因乙方工作人员失职或乙方责任造成人员伤亡、财产损失的，由乙方承担全部赔偿责任。乙方工作人员在本项目服务范围内发生违法、违规行为的，所造成的一切后果及损失，由乙方承担责任和负责赔偿。</w:t>
      </w:r>
    </w:p>
    <w:p>
      <w:pPr>
        <w:ind w:firstLine="420"/>
        <w:jc w:val="both"/>
      </w:pPr>
      <w:r>
        <w:rPr>
          <w:sz w:val="21"/>
        </w:rPr>
        <w:t>6.</w:t>
      </w:r>
      <w:r>
        <w:rPr>
          <w:sz w:val="21"/>
        </w:rPr>
        <w:t>未经甲方同意，乙方不得对公园内的绿化、设施及布置作任何变更。</w:t>
      </w:r>
    </w:p>
    <w:p>
      <w:pPr>
        <w:ind w:firstLine="420"/>
        <w:jc w:val="both"/>
      </w:pPr>
      <w:r>
        <w:rPr>
          <w:sz w:val="21"/>
        </w:rPr>
        <w:t>7.</w:t>
      </w:r>
      <w:r>
        <w:rPr>
          <w:sz w:val="21"/>
        </w:rPr>
        <w:t>对管理范围内非养护管理原因造成的绿化、设施设备损毁等，乙方须及时向甲方报告，不及时报告、处理的，经甲方发现查实，由乙方自行修复完好。</w:t>
      </w:r>
    </w:p>
    <w:p>
      <w:pPr>
        <w:ind w:firstLine="420"/>
        <w:jc w:val="both"/>
      </w:pPr>
      <w:r>
        <w:rPr>
          <w:sz w:val="21"/>
        </w:rPr>
        <w:t>8.</w:t>
      </w:r>
      <w:r>
        <w:rPr>
          <w:sz w:val="21"/>
        </w:rPr>
        <w:t>乙方使用的工具、器材、消耗品等相关用品必须符合国家相关安全标准，须整齐摆放在指定地点，农药、化肥和刀具等具有危险性的物品要妥善保存、做好警示标志并告知甲方，禁止在公园范围内存放违禁品。</w:t>
      </w:r>
    </w:p>
    <w:p>
      <w:pPr>
        <w:ind w:firstLine="420"/>
        <w:jc w:val="both"/>
      </w:pPr>
      <w:r>
        <w:rPr>
          <w:sz w:val="21"/>
        </w:rPr>
        <w:t>9.</w:t>
      </w:r>
      <w:r>
        <w:rPr>
          <w:sz w:val="21"/>
        </w:rPr>
        <w:t>乙方应具备利用自身资源满足临时应急抽调的调遣能力，平均每月抽调不超过</w:t>
      </w:r>
      <w:r>
        <w:rPr>
          <w:sz w:val="21"/>
        </w:rPr>
        <w:t>2</w:t>
      </w:r>
      <w:r>
        <w:rPr>
          <w:sz w:val="21"/>
        </w:rPr>
        <w:t>次，绿化养护、卫生保洁、除四害及白蚁防治等人员一次性抽调不少于</w:t>
      </w:r>
      <w:r>
        <w:rPr>
          <w:sz w:val="21"/>
        </w:rPr>
        <w:t>10</w:t>
      </w:r>
      <w:r>
        <w:rPr>
          <w:sz w:val="21"/>
        </w:rPr>
        <w:t>人。</w:t>
      </w:r>
    </w:p>
    <w:p>
      <w:pPr>
        <w:ind w:firstLine="420"/>
        <w:jc w:val="both"/>
      </w:pPr>
      <w:r>
        <w:rPr>
          <w:sz w:val="21"/>
        </w:rPr>
        <w:t>10.</w:t>
      </w:r>
      <w:r>
        <w:rPr>
          <w:sz w:val="21"/>
        </w:rPr>
        <w:t>乙方管理人员应与甲方保持沟通，并服从甲方的工作安排和日常管理要求，遇到突发性工作、突击性任务时需无偿配合甲方做好相关工作。在不影响乙方工作的情况下，甲方可安排乙方工作人员支援甲方其他相关工作。</w:t>
      </w:r>
    </w:p>
    <w:p>
      <w:pPr>
        <w:ind w:firstLine="420"/>
        <w:jc w:val="both"/>
      </w:pPr>
      <w:r>
        <w:rPr>
          <w:sz w:val="21"/>
        </w:rPr>
        <w:t>11.</w:t>
      </w:r>
      <w:r>
        <w:rPr>
          <w:sz w:val="21"/>
        </w:rPr>
        <w:t>重大节假日期间（如元旦、春节、元宵、清明、中秋、国庆、重阳等节日），乙方须服从甲方的工作安排，如组织工作人员参加公园内（含未改造山体范围）的节日绿化、保洁等支援工作。乙方必须按有关法律法规给员工发放节假日加班费，若因加班费发放不足而引起劳资纠纷的，由乙方负责解决。</w:t>
      </w:r>
    </w:p>
    <w:p>
      <w:pPr>
        <w:ind w:firstLine="420"/>
        <w:jc w:val="both"/>
      </w:pPr>
      <w:r>
        <w:rPr>
          <w:sz w:val="21"/>
        </w:rPr>
        <w:t>12.</w:t>
      </w:r>
      <w:r>
        <w:rPr>
          <w:sz w:val="21"/>
        </w:rPr>
        <w:t>乙方在做好本职工作的同时，有责任向甲方提供合理化建议，以提高管理效率和管理质量。</w:t>
      </w:r>
    </w:p>
    <w:p>
      <w:pPr>
        <w:ind w:firstLine="420"/>
        <w:jc w:val="both"/>
      </w:pPr>
      <w:r>
        <w:rPr>
          <w:sz w:val="21"/>
        </w:rPr>
        <w:t>13.</w:t>
      </w:r>
      <w:r>
        <w:rPr>
          <w:sz w:val="21"/>
        </w:rPr>
        <w:t>甲方提供驻场主管办公场地和水源、电源接驳口，绿化养护及公厕保洁产生的水费、电费由乙方负责每季度向甲方缴纳。</w:t>
      </w:r>
    </w:p>
    <w:p>
      <w:pPr>
        <w:ind w:firstLine="420"/>
        <w:jc w:val="both"/>
      </w:pPr>
      <w:r>
        <w:rPr>
          <w:sz w:val="21"/>
        </w:rPr>
        <w:t>14.</w:t>
      </w:r>
      <w:r>
        <w:rPr>
          <w:sz w:val="21"/>
        </w:rPr>
        <w:t>服务期满或合同终止，乙方未能继续获得本项目新一轮服务资格或不能继续履行合同时，需积极配合做好项目交接，不得以任何方式阻碍交接，影响甲方正常工作。最后一个月的服务费留待交接完毕后再支付，乙方不配合或以任何方式阻碍和影响交接工作的，甲方有权不支付最后一个月的服务费。</w:t>
      </w:r>
    </w:p>
    <w:p>
      <w:pPr>
        <w:ind w:firstLine="420"/>
        <w:jc w:val="both"/>
      </w:pPr>
      <w:r>
        <w:rPr>
          <w:sz w:val="21"/>
        </w:rPr>
        <w:t>15.</w:t>
      </w:r>
      <w:r>
        <w:rPr>
          <w:sz w:val="21"/>
        </w:rPr>
        <w:t>每月由甲方及乙方双方按照公园管理检评考核表对公园现场管理情况进行考核验收。在检查中如被扣分，甲方按相应分值直接扣减服务费，按每分</w:t>
      </w:r>
      <w:r>
        <w:rPr>
          <w:sz w:val="21"/>
        </w:rPr>
        <w:t>100</w:t>
      </w:r>
      <w:r>
        <w:rPr>
          <w:sz w:val="21"/>
        </w:rPr>
        <w:t>元计算。月度检评考核表、员工考勤表及作业人员现场签到表经甲方确认后即作为结算服务费的依据之一。</w:t>
      </w:r>
    </w:p>
    <w:p>
      <w:pPr>
        <w:ind w:firstLine="422"/>
        <w:jc w:val="both"/>
      </w:pPr>
      <w:r>
        <w:rPr>
          <w:b/>
          <w:sz w:val="21"/>
        </w:rPr>
        <w:t>三、具体服务内容及要求</w:t>
      </w:r>
    </w:p>
    <w:p>
      <w:pPr>
        <w:ind w:firstLine="420"/>
        <w:jc w:val="both"/>
      </w:pPr>
      <w:r>
        <w:rPr>
          <w:sz w:val="21"/>
        </w:rPr>
        <w:t>（一）绿化养护工作</w:t>
      </w:r>
    </w:p>
    <w:p>
      <w:pPr>
        <w:ind w:firstLine="420"/>
        <w:jc w:val="both"/>
      </w:pPr>
      <w:r>
        <w:rPr>
          <w:sz w:val="21"/>
        </w:rPr>
        <w:t>1.</w:t>
      </w:r>
      <w:r>
        <w:rPr>
          <w:sz w:val="21"/>
        </w:rPr>
        <w:t>绿化养护质量应按照《园林绿地养护管理技术规范》（</w:t>
      </w:r>
      <w:r>
        <w:rPr>
          <w:sz w:val="21"/>
        </w:rPr>
        <w:t>DB4401/T 6-2018</w:t>
      </w:r>
      <w:r>
        <w:rPr>
          <w:sz w:val="21"/>
        </w:rPr>
        <w:t>）、《广州市公园条例》、《广州市公园管理规范》、《园林绿化植物材料》（</w:t>
      </w:r>
      <w:r>
        <w:rPr>
          <w:sz w:val="21"/>
        </w:rPr>
        <w:t>DB4401/T 37-2019</w:t>
      </w:r>
      <w:r>
        <w:rPr>
          <w:sz w:val="21"/>
        </w:rPr>
        <w:t>）、《园林种植土》（</w:t>
      </w:r>
      <w:r>
        <w:rPr>
          <w:sz w:val="21"/>
        </w:rPr>
        <w:t>DB4401/T 36-2019</w:t>
      </w:r>
      <w:r>
        <w:rPr>
          <w:sz w:val="21"/>
        </w:rPr>
        <w:t>）、《黄埔区绿化养护技术指引》（</w:t>
      </w:r>
      <w:r>
        <w:rPr>
          <w:sz w:val="21"/>
        </w:rPr>
        <w:t>1.0</w:t>
      </w:r>
      <w:r>
        <w:rPr>
          <w:sz w:val="21"/>
        </w:rPr>
        <w:t>版）、《黄埔区绿化养护作业指导书》等国家、行业和地方现行相关标准、规范执行，若项目服务期内国家、行业和地方颁布新的标准、规范，则按最新的标准、规范执行。</w:t>
      </w:r>
    </w:p>
    <w:p>
      <w:pPr>
        <w:ind w:firstLine="420"/>
        <w:jc w:val="both"/>
      </w:pPr>
      <w:r>
        <w:rPr>
          <w:sz w:val="21"/>
        </w:rPr>
        <w:t>2.</w:t>
      </w:r>
      <w:r>
        <w:rPr>
          <w:sz w:val="21"/>
        </w:rPr>
        <w:t>尖峰岭公园、环山岭公园绿化养护质量应按照《园林绿地养护管理技术规范》（</w:t>
      </w:r>
      <w:r>
        <w:rPr>
          <w:sz w:val="21"/>
        </w:rPr>
        <w:t>DB4401/T 6-2018</w:t>
      </w:r>
      <w:r>
        <w:rPr>
          <w:sz w:val="21"/>
        </w:rPr>
        <w:t>）一级养护标准执行，雅居乐西侧山体公园绿化养护质量应按照《园林绿地养护管理技术规范》（</w:t>
      </w:r>
      <w:r>
        <w:rPr>
          <w:sz w:val="21"/>
        </w:rPr>
        <w:t>DB4401/T 6-2018</w:t>
      </w:r>
      <w:r>
        <w:rPr>
          <w:sz w:val="21"/>
        </w:rPr>
        <w:t>）二级养护标准执行。</w:t>
      </w:r>
    </w:p>
    <w:p>
      <w:pPr>
        <w:ind w:firstLine="420"/>
        <w:jc w:val="both"/>
      </w:pPr>
      <w:r>
        <w:rPr>
          <w:sz w:val="21"/>
        </w:rPr>
        <w:t>3.</w:t>
      </w:r>
      <w:r>
        <w:rPr>
          <w:sz w:val="21"/>
        </w:rPr>
        <w:t>乙方必须在进场半年内对养护范围内的所有植物建立电子和纸质的养护档案，内容包括：编号、品种、位置、规格等；该项工作是否完成，将作为本项目第一年度第四季度进度款申请的前置条件。</w:t>
      </w:r>
    </w:p>
    <w:p>
      <w:pPr>
        <w:ind w:firstLine="420"/>
        <w:jc w:val="both"/>
      </w:pPr>
      <w:r>
        <w:rPr>
          <w:sz w:val="21"/>
        </w:rPr>
        <w:t>4.</w:t>
      </w:r>
      <w:r>
        <w:rPr>
          <w:sz w:val="21"/>
        </w:rPr>
        <w:t>在服务范围内因乙方养护管理不力造成植物生长势差或死亡的，或因游客破坏造成裸露的，由乙方负责更换、补植，更换、补植的苗木要与原来的种类、规格接近，以保证良好的景观效果，甲方不另行追加服务费。</w:t>
      </w:r>
    </w:p>
    <w:p>
      <w:pPr>
        <w:ind w:firstLine="420"/>
        <w:jc w:val="both"/>
      </w:pPr>
      <w:r>
        <w:rPr>
          <w:sz w:val="21"/>
        </w:rPr>
        <w:t>5.</w:t>
      </w:r>
      <w:r>
        <w:rPr>
          <w:sz w:val="21"/>
        </w:rPr>
        <w:t>在服务范围内新增或换种的植物（含时花），由乙方负责养护管理，甲方不另行追加服务费。</w:t>
      </w:r>
    </w:p>
    <w:p>
      <w:pPr>
        <w:ind w:firstLine="420"/>
        <w:jc w:val="both"/>
      </w:pPr>
      <w:r>
        <w:rPr>
          <w:sz w:val="21"/>
        </w:rPr>
        <w:t>6.</w:t>
      </w:r>
      <w:r>
        <w:rPr>
          <w:sz w:val="21"/>
        </w:rPr>
        <w:t>绿化养护作业用的一切物料包括但不限于园林机具、农药、肥料、新种苗木的支撑等均由乙方承担。具体要求如下：</w:t>
      </w:r>
    </w:p>
    <w:p>
      <w:pPr>
        <w:ind w:firstLine="420"/>
        <w:jc w:val="both"/>
      </w:pPr>
      <w:r>
        <w:rPr>
          <w:sz w:val="21"/>
        </w:rPr>
        <w:t>（</w:t>
      </w:r>
      <w:r>
        <w:rPr>
          <w:sz w:val="21"/>
        </w:rPr>
        <w:t>1</w:t>
      </w:r>
      <w:r>
        <w:rPr>
          <w:sz w:val="21"/>
        </w:rPr>
        <w:t>）乙方必须配备高空修剪车、洒水车、运输车、工具车、剪草设备（如剪草机、割草机等）、喷药设备（如喷药器、打药机、喷药车等）、绿篱修剪机、割灌机、草坪打孔机、绿化垃圾粉碎机、油锯、高枝剪、锄头、斗车、水管、枝剪、手套、面罩、汽油、机油等日常绿化养护工作中所需的各种机械设备、工具和物料。</w:t>
      </w:r>
    </w:p>
    <w:p>
      <w:pPr>
        <w:ind w:firstLine="420"/>
        <w:jc w:val="both"/>
      </w:pPr>
      <w:r>
        <w:rPr>
          <w:sz w:val="21"/>
        </w:rPr>
        <w:t>（</w:t>
      </w:r>
      <w:r>
        <w:rPr>
          <w:sz w:val="21"/>
        </w:rPr>
        <w:t>2</w:t>
      </w:r>
      <w:r>
        <w:rPr>
          <w:sz w:val="21"/>
        </w:rPr>
        <w:t>）根据植物的种类配备充足的肥料、农药，保证植物生长良好。视植物生长情况进行施肥、喷药，经甲方现场管理人员诊定需加强施肥、喷药的，乙方须无条件满足支持。</w:t>
      </w:r>
    </w:p>
    <w:p>
      <w:pPr>
        <w:ind w:firstLine="420"/>
        <w:jc w:val="both"/>
      </w:pPr>
      <w:r>
        <w:rPr>
          <w:sz w:val="21"/>
        </w:rPr>
        <w:t>（</w:t>
      </w:r>
      <w:r>
        <w:rPr>
          <w:sz w:val="21"/>
        </w:rPr>
        <w:t>3</w:t>
      </w:r>
      <w:r>
        <w:rPr>
          <w:sz w:val="21"/>
        </w:rPr>
        <w:t>）服务区域内已有的喷灌系统由乙方核点确认后接收使用，服务期内的日常维护修理费用由乙方负责。乙方必须遵循节约、爱护的原则合理使用，服务期满后，需完好无损地交还甲方。</w:t>
      </w:r>
    </w:p>
    <w:p>
      <w:pPr>
        <w:ind w:firstLine="420"/>
        <w:jc w:val="both"/>
      </w:pPr>
      <w:r>
        <w:rPr>
          <w:sz w:val="21"/>
        </w:rPr>
        <w:t>（</w:t>
      </w:r>
      <w:r>
        <w:rPr>
          <w:sz w:val="21"/>
        </w:rPr>
        <w:t>4</w:t>
      </w:r>
      <w:r>
        <w:rPr>
          <w:sz w:val="21"/>
        </w:rPr>
        <w:t>）甲方提供的工具房只作为乙方服务人员午休场所和工具物料保管间，不提供服务人员住宿，项目服务期满或合同终止时，乙方必须在三天内无条件清走工具、物料，将工具房交回甲方；用水用电必须符合甲方的有关管理规定，防火安全及工具、物料保管均由乙方负责。</w:t>
      </w:r>
    </w:p>
    <w:p>
      <w:pPr>
        <w:ind w:firstLine="420"/>
        <w:jc w:val="both"/>
      </w:pPr>
      <w:r>
        <w:rPr>
          <w:sz w:val="21"/>
        </w:rPr>
        <w:t>（</w:t>
      </w:r>
      <w:r>
        <w:rPr>
          <w:sz w:val="21"/>
        </w:rPr>
        <w:t>5</w:t>
      </w:r>
      <w:r>
        <w:rPr>
          <w:sz w:val="21"/>
        </w:rPr>
        <w:t>）工具及物料需按要求集中堆放在指定的场地，不得乱堆乱放，不得占用绿地。</w:t>
      </w:r>
    </w:p>
    <w:p>
      <w:pPr>
        <w:ind w:firstLine="420"/>
        <w:jc w:val="both"/>
      </w:pPr>
      <w:r>
        <w:rPr>
          <w:sz w:val="21"/>
        </w:rPr>
        <w:t>（</w:t>
      </w:r>
      <w:r>
        <w:rPr>
          <w:sz w:val="21"/>
        </w:rPr>
        <w:t>6</w:t>
      </w:r>
      <w:r>
        <w:rPr>
          <w:sz w:val="21"/>
        </w:rPr>
        <w:t>）日常施肥、喷药、修剪、打草、种植过程中，乙方需在明显位置设置温馨告示牌，整改、修剪恢复期要用铭牌做好相关提示。</w:t>
      </w:r>
    </w:p>
    <w:p>
      <w:pPr>
        <w:ind w:firstLine="420"/>
        <w:jc w:val="both"/>
      </w:pPr>
      <w:r>
        <w:rPr>
          <w:sz w:val="21"/>
        </w:rPr>
        <w:t>7.</w:t>
      </w:r>
      <w:r>
        <w:rPr>
          <w:sz w:val="21"/>
        </w:rPr>
        <w:t>干旱季节需每周清洗一次园内的乔灌木，重大节日或上级部门进行检查前，乙方须负责做好园内绿化的清洗工作。</w:t>
      </w:r>
    </w:p>
    <w:p>
      <w:pPr>
        <w:ind w:firstLine="420"/>
        <w:jc w:val="both"/>
      </w:pPr>
      <w:r>
        <w:rPr>
          <w:sz w:val="21"/>
        </w:rPr>
        <w:t>8.</w:t>
      </w:r>
      <w:r>
        <w:rPr>
          <w:sz w:val="21"/>
        </w:rPr>
        <w:t>乙方必须定人、定时、定点、定岗进行服务范围内的绿化养护工作。如遇任务繁重或特殊气候、特殊情况（台风、暴雨、虫害、疫情等）需要突击性完成工作任务时，乙方应配合甲方工作，并按甲方要求增加人力或延长工作时间，以保证工作按时按质按量完成。</w:t>
      </w:r>
    </w:p>
    <w:p>
      <w:pPr>
        <w:ind w:firstLine="420"/>
        <w:jc w:val="both"/>
      </w:pPr>
      <w:r>
        <w:rPr>
          <w:sz w:val="21"/>
        </w:rPr>
        <w:t>9.</w:t>
      </w:r>
      <w:r>
        <w:rPr>
          <w:sz w:val="21"/>
        </w:rPr>
        <w:t>乙方在养护期间对园内的乔、灌木进行大修剪或对景区景点绿化进行整改的，须事先告知甲方并征得甲方同意，且需在甲方的指导下进行。园内绿化植物的正常补种或因乙方养护不善而造成的植物死亡、长势疲弱的植物换种（补种苗木的规格须和原苗木规格一致，植物换种须经甲方同意），由乙方在服务费中解决，甲方不再予以增拨费用。因不可预见的原因（特殊寒冷天气、台风、水浸等）造成的大量缺损除外。</w:t>
      </w:r>
    </w:p>
    <w:p>
      <w:pPr>
        <w:ind w:firstLine="420"/>
        <w:jc w:val="both"/>
      </w:pPr>
      <w:r>
        <w:rPr>
          <w:sz w:val="21"/>
        </w:rPr>
        <w:t>10.</w:t>
      </w:r>
      <w:r>
        <w:rPr>
          <w:sz w:val="21"/>
        </w:rPr>
        <w:t>乙方在养护期间应做到安全作业，作业人员要佩带（穿）明显标志，工作区间放置作业标牌或警示标志。作业人员夜间作业要外穿反光服。高空作业须采取有效防护措施，高空作业人员必须持有高处作业证方能上岗作业，如高空作业人员未持有高处作业证上岗作业发生安全事故，一切责任由乙方承担。</w:t>
      </w:r>
    </w:p>
    <w:p>
      <w:pPr>
        <w:ind w:firstLine="420"/>
        <w:jc w:val="both"/>
      </w:pPr>
      <w:r>
        <w:rPr>
          <w:sz w:val="21"/>
        </w:rPr>
        <w:t>11.</w:t>
      </w:r>
      <w:r>
        <w:rPr>
          <w:sz w:val="21"/>
        </w:rPr>
        <w:t>乙方在养护期间须配合甲方做好公园内的防蛇工作，所需器具、药物等相关费用由乙方承担。</w:t>
      </w:r>
    </w:p>
    <w:p>
      <w:pPr>
        <w:ind w:firstLine="420"/>
        <w:jc w:val="both"/>
      </w:pPr>
      <w:r>
        <w:rPr>
          <w:sz w:val="21"/>
        </w:rPr>
        <w:t>12.</w:t>
      </w:r>
      <w:r>
        <w:rPr>
          <w:sz w:val="21"/>
        </w:rPr>
        <w:t>乙方在台风、暴雨期间需加强园内巡查，发现树木折断、倾倒等应及时通知、联动，立即进行处置，确保绿化正常生长。</w:t>
      </w:r>
    </w:p>
    <w:p>
      <w:pPr>
        <w:ind w:firstLine="420"/>
        <w:jc w:val="both"/>
      </w:pPr>
      <w:r>
        <w:rPr>
          <w:sz w:val="21"/>
        </w:rPr>
        <w:t>13.</w:t>
      </w:r>
      <w:r>
        <w:rPr>
          <w:sz w:val="21"/>
        </w:rPr>
        <w:t>因乙方养护管理措施不力，导致出现严重养护质量问题，如非自然灾害原因导致的草坪大面积枯萎及乔灌木、地被植物死亡等，乙方不按甲方要求及时进行补植，对公园景观造成重大不良影响的，视为乙方违约，甲方将扣减相应服务费或按合同违约条款终止合同，并追究乙方有关赔偿责任。因不可抗力造成公园植物死亡、设施设备损毁的，由甲方提供苗木、设施设备，乙方无偿补植、更换及养护。</w:t>
      </w:r>
    </w:p>
    <w:p>
      <w:pPr>
        <w:ind w:firstLine="420"/>
        <w:jc w:val="both"/>
      </w:pPr>
      <w:r>
        <w:rPr>
          <w:sz w:val="21"/>
        </w:rPr>
        <w:t>14.</w:t>
      </w:r>
      <w:r>
        <w:rPr>
          <w:sz w:val="21"/>
        </w:rPr>
        <w:t>项目服务期内，甲方每天派管理人员对乙方的工作进行巡查，发现问题后，甲方即时提出修正意见和要求，如缺株、死株的，乙方须在甲方指定时间内进行补种，乙方管理人员和养护工人应听从甲方的指导和要求；情节严重的，甲方向乙方发出整改通知书，乙方应在规定的期限内完成整改（因特殊原因不能按时完成的须提前向甲方阐明原因）。</w:t>
      </w:r>
    </w:p>
    <w:p>
      <w:pPr>
        <w:ind w:firstLine="420"/>
        <w:jc w:val="both"/>
      </w:pPr>
      <w:r>
        <w:rPr>
          <w:sz w:val="21"/>
        </w:rPr>
        <w:t>15.</w:t>
      </w:r>
      <w:r>
        <w:rPr>
          <w:sz w:val="21"/>
        </w:rPr>
        <w:t>维护好园内的绿化宣传牌及绿化设施，保持洁净美观，防止被破坏、盗窃。绿化养护喷淋设施等绿化相关设施由乙方负责维修养护和更换。</w:t>
      </w:r>
    </w:p>
    <w:p>
      <w:pPr>
        <w:ind w:firstLine="420"/>
        <w:jc w:val="both"/>
      </w:pPr>
      <w:r>
        <w:rPr>
          <w:sz w:val="21"/>
        </w:rPr>
        <w:t>16.</w:t>
      </w:r>
      <w:r>
        <w:rPr>
          <w:sz w:val="21"/>
        </w:rPr>
        <w:t>配合甲方做好公园节假日花卉布置及摆花期间的淋水养护工作，防止花卉被破坏、盗窃，做好摆设场地的卫生清洁及节后的清场工作。配合甲方做好领导视察及各类相关检查时的环境整治工作，必须服从甲方工作安排。</w:t>
      </w:r>
    </w:p>
    <w:p>
      <w:pPr>
        <w:ind w:firstLine="420"/>
        <w:jc w:val="both"/>
      </w:pPr>
      <w:r>
        <w:rPr>
          <w:sz w:val="21"/>
        </w:rPr>
        <w:t>17.</w:t>
      </w:r>
      <w:r>
        <w:rPr>
          <w:sz w:val="21"/>
        </w:rPr>
        <w:t>绿化养护人员必须每天做好出勤登记、记录公园绿化养护作业情况，每月需提交考勤记录、当月绿化养护总结和下月绿化养护计划。绿化养护用具使用后要及时归置在统一位置，工作人员衣物要归置在统一位置。</w:t>
      </w:r>
    </w:p>
    <w:p>
      <w:pPr>
        <w:ind w:firstLine="420"/>
        <w:jc w:val="both"/>
      </w:pPr>
      <w:r>
        <w:rPr>
          <w:sz w:val="21"/>
        </w:rPr>
        <w:t>18.</w:t>
      </w:r>
      <w:r>
        <w:rPr>
          <w:sz w:val="21"/>
        </w:rPr>
        <w:t>乙方在做好本职工作的同时，需具有一定的创新管理能力及园林绿化相关的先进技术，结合公园特点向甲方提供合理化建议，以提高管理效率和管理质量。</w:t>
      </w:r>
    </w:p>
    <w:p>
      <w:pPr>
        <w:ind w:firstLine="420"/>
        <w:jc w:val="both"/>
      </w:pPr>
      <w:r>
        <w:rPr>
          <w:sz w:val="21"/>
        </w:rPr>
        <w:t>（二）卫生保洁工作</w:t>
      </w:r>
    </w:p>
    <w:p>
      <w:pPr>
        <w:ind w:firstLine="420"/>
        <w:jc w:val="both"/>
      </w:pPr>
      <w:r>
        <w:rPr>
          <w:sz w:val="21"/>
        </w:rPr>
        <w:t>1.</w:t>
      </w:r>
      <w:r>
        <w:rPr>
          <w:sz w:val="21"/>
        </w:rPr>
        <w:t>卫生保洁质量应按照《广州市公园条例》、《广州市公园管理规范》、《环境卫生作业质量管理规范》（</w:t>
      </w:r>
      <w:r>
        <w:rPr>
          <w:sz w:val="21"/>
        </w:rPr>
        <w:t>DB4401/T 178-2022</w:t>
      </w:r>
      <w:r>
        <w:rPr>
          <w:sz w:val="21"/>
        </w:rPr>
        <w:t>）、《公共厕所建设与管理规范》（</w:t>
      </w:r>
      <w:r>
        <w:rPr>
          <w:sz w:val="21"/>
        </w:rPr>
        <w:t>DB4401/T 15-2018</w:t>
      </w:r>
      <w:r>
        <w:rPr>
          <w:sz w:val="21"/>
        </w:rPr>
        <w:t>）、《广州市黄埔区公共厕所保洁作业规范和保洁质量标准指引（试行）》等国家、行业和地方现行相关标准、规范执行，若项目服务期内国家、行业和地方颁布新的标准、规范，则按最新的标准、规范执行。</w:t>
      </w:r>
    </w:p>
    <w:p>
      <w:pPr>
        <w:ind w:firstLine="420"/>
        <w:jc w:val="both"/>
      </w:pPr>
      <w:r>
        <w:rPr>
          <w:sz w:val="21"/>
        </w:rPr>
        <w:t>2.</w:t>
      </w:r>
      <w:r>
        <w:rPr>
          <w:sz w:val="21"/>
        </w:rPr>
        <w:t>清洁工作内容及细则：</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20"/>
        <w:gridCol w:w="2246"/>
        <w:gridCol w:w="2763"/>
        <w:gridCol w:w="2645"/>
      </w:tblGrid>
      <w:tr>
        <w:tc>
          <w:tcPr>
            <w:tcW w:type="dxa" w:w="62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246"/>
            <w:tcBorders>
              <w:top w:val="single" w:color="000000" w:sz="4"/>
              <w:left w:val="single" w:color="000000" w:sz="4"/>
              <w:bottom w:val="single" w:color="000000" w:sz="4"/>
              <w:right w:val="single" w:color="000000" w:sz="4"/>
            </w:tcBorders>
            <w:vAlign w:val="top"/>
          </w:tcPr>
          <w:p>
            <w:pPr>
              <w:jc w:val="center"/>
            </w:pPr>
            <w:r>
              <w:rPr>
                <w:b/>
                <w:sz w:val="21"/>
              </w:rPr>
              <w:t>清洁内容</w:t>
            </w:r>
          </w:p>
        </w:tc>
        <w:tc>
          <w:tcPr>
            <w:tcW w:type="dxa" w:w="2763"/>
            <w:tcBorders>
              <w:top w:val="single" w:color="000000" w:sz="4"/>
              <w:left w:val="single" w:color="000000" w:sz="4"/>
              <w:bottom w:val="single" w:color="000000" w:sz="4"/>
              <w:right w:val="single" w:color="000000" w:sz="4"/>
            </w:tcBorders>
            <w:vAlign w:val="top"/>
          </w:tcPr>
          <w:p>
            <w:pPr>
              <w:jc w:val="center"/>
            </w:pPr>
            <w:r>
              <w:rPr>
                <w:b/>
                <w:sz w:val="21"/>
              </w:rPr>
              <w:t>清洁细则</w:t>
            </w:r>
          </w:p>
        </w:tc>
        <w:tc>
          <w:tcPr>
            <w:tcW w:type="dxa" w:w="2645"/>
            <w:tcBorders>
              <w:top w:val="single" w:color="000000" w:sz="4"/>
              <w:left w:val="single" w:color="000000" w:sz="4"/>
              <w:bottom w:val="single" w:color="000000" w:sz="4"/>
              <w:right w:val="single" w:color="000000" w:sz="4"/>
            </w:tcBorders>
            <w:vAlign w:val="top"/>
          </w:tcPr>
          <w:p>
            <w:pPr>
              <w:jc w:val="center"/>
            </w:pPr>
            <w:r>
              <w:rPr>
                <w:b/>
                <w:sz w:val="21"/>
              </w:rPr>
              <w:t>达到效果</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46"/>
            <w:tcBorders>
              <w:top w:val="none" w:color="000000" w:sz="4"/>
              <w:left w:val="single" w:color="000000" w:sz="4"/>
              <w:bottom w:val="single" w:color="000000" w:sz="4"/>
              <w:right w:val="single" w:color="000000" w:sz="4"/>
            </w:tcBorders>
            <w:vAlign w:val="top"/>
          </w:tcPr>
          <w:p>
            <w:pPr>
              <w:jc w:val="both"/>
            </w:pPr>
            <w:r>
              <w:rPr>
                <w:sz w:val="21"/>
              </w:rPr>
              <w:t>园路、广场、平台、铺砌场地。</w:t>
            </w:r>
          </w:p>
        </w:tc>
        <w:tc>
          <w:tcPr>
            <w:tcW w:type="dxa" w:w="2763"/>
            <w:tcBorders>
              <w:top w:val="none" w:color="000000" w:sz="4"/>
              <w:left w:val="single" w:color="000000" w:sz="4"/>
              <w:bottom w:val="single" w:color="000000" w:sz="4"/>
              <w:right w:val="single" w:color="000000" w:sz="4"/>
            </w:tcBorders>
            <w:vAlign w:val="top"/>
          </w:tcPr>
          <w:p>
            <w:pPr>
              <w:jc w:val="both"/>
            </w:pPr>
            <w:r>
              <w:rPr>
                <w:sz w:val="21"/>
              </w:rPr>
              <w:t>按二级道路标准进行保洁。上、下午各清扫一次，全天保洁，每周擦洗一次。</w:t>
            </w:r>
          </w:p>
        </w:tc>
        <w:tc>
          <w:tcPr>
            <w:tcW w:type="dxa" w:w="2645"/>
            <w:tcBorders>
              <w:top w:val="none" w:color="000000" w:sz="4"/>
              <w:left w:val="single" w:color="000000" w:sz="4"/>
              <w:bottom w:val="single" w:color="000000" w:sz="4"/>
              <w:right w:val="single" w:color="000000" w:sz="4"/>
            </w:tcBorders>
            <w:vAlign w:val="top"/>
          </w:tcPr>
          <w:p>
            <w:pPr>
              <w:jc w:val="both"/>
            </w:pPr>
            <w:r>
              <w:rPr>
                <w:sz w:val="21"/>
              </w:rPr>
              <w:t>无烟头、纸屑、杂物、青苔、泥沙、污迹、落叶等，保持洁净。</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46"/>
            <w:tcBorders>
              <w:top w:val="none" w:color="000000" w:sz="4"/>
              <w:left w:val="single" w:color="000000" w:sz="4"/>
              <w:bottom w:val="single" w:color="000000" w:sz="4"/>
              <w:right w:val="single" w:color="000000" w:sz="4"/>
            </w:tcBorders>
            <w:vAlign w:val="top"/>
          </w:tcPr>
          <w:p>
            <w:pPr>
              <w:jc w:val="both"/>
            </w:pPr>
            <w:r>
              <w:rPr>
                <w:sz w:val="21"/>
              </w:rPr>
              <w:t>亭、廊等建（构）筑物。</w:t>
            </w:r>
          </w:p>
        </w:tc>
        <w:tc>
          <w:tcPr>
            <w:tcW w:type="dxa" w:w="2763"/>
            <w:tcBorders>
              <w:top w:val="none" w:color="000000" w:sz="4"/>
              <w:left w:val="single" w:color="000000" w:sz="4"/>
              <w:bottom w:val="single" w:color="000000" w:sz="4"/>
              <w:right w:val="single" w:color="000000" w:sz="4"/>
            </w:tcBorders>
            <w:vAlign w:val="top"/>
          </w:tcPr>
          <w:p>
            <w:pPr>
              <w:jc w:val="both"/>
            </w:pPr>
            <w:r>
              <w:rPr>
                <w:sz w:val="21"/>
              </w:rPr>
              <w:t>地面上、下午各清扫一次，全天保洁，每周擦洗一次；天花、天面、墙面及檐口每月清扫一次。</w:t>
            </w:r>
          </w:p>
        </w:tc>
        <w:tc>
          <w:tcPr>
            <w:tcW w:type="dxa" w:w="2645"/>
            <w:tcBorders>
              <w:top w:val="none" w:color="000000" w:sz="4"/>
              <w:left w:val="single" w:color="000000" w:sz="4"/>
              <w:bottom w:val="single" w:color="000000" w:sz="4"/>
              <w:right w:val="single" w:color="000000" w:sz="4"/>
            </w:tcBorders>
            <w:vAlign w:val="top"/>
          </w:tcPr>
          <w:p>
            <w:pPr>
              <w:jc w:val="both"/>
            </w:pPr>
            <w:r>
              <w:rPr>
                <w:sz w:val="21"/>
              </w:rPr>
              <w:t>地面无杂物、污迹，保持洁净；天花无蜘蛛网、檐口无陈旧沾污、天面无陈旧杂物或落叶。</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46"/>
            <w:tcBorders>
              <w:top w:val="none" w:color="000000" w:sz="4"/>
              <w:left w:val="single" w:color="000000" w:sz="4"/>
              <w:bottom w:val="single" w:color="000000" w:sz="4"/>
              <w:right w:val="single" w:color="000000" w:sz="4"/>
            </w:tcBorders>
            <w:vAlign w:val="top"/>
          </w:tcPr>
          <w:p>
            <w:pPr>
              <w:jc w:val="both"/>
            </w:pPr>
            <w:r>
              <w:rPr>
                <w:sz w:val="21"/>
              </w:rPr>
              <w:t>园椅（凳）、台、果皮箱、洗手盆、导游图、指示牌、告示栏、宣传栏等。</w:t>
            </w:r>
          </w:p>
        </w:tc>
        <w:tc>
          <w:tcPr>
            <w:tcW w:type="dxa" w:w="2763"/>
            <w:tcBorders>
              <w:top w:val="none" w:color="000000" w:sz="4"/>
              <w:left w:val="single" w:color="000000" w:sz="4"/>
              <w:bottom w:val="single" w:color="000000" w:sz="4"/>
              <w:right w:val="single" w:color="000000" w:sz="4"/>
            </w:tcBorders>
            <w:vAlign w:val="top"/>
          </w:tcPr>
          <w:p>
            <w:pPr>
              <w:jc w:val="both"/>
            </w:pPr>
            <w:r>
              <w:rPr>
                <w:sz w:val="21"/>
              </w:rPr>
              <w:t>每天抹洗一次，果皮箱垃圾每天至少清理一次。</w:t>
            </w:r>
          </w:p>
        </w:tc>
        <w:tc>
          <w:tcPr>
            <w:tcW w:type="dxa" w:w="2645"/>
            <w:tcBorders>
              <w:top w:val="none" w:color="000000" w:sz="4"/>
              <w:left w:val="single" w:color="000000" w:sz="4"/>
              <w:bottom w:val="single" w:color="000000" w:sz="4"/>
              <w:right w:val="single" w:color="000000" w:sz="4"/>
            </w:tcBorders>
            <w:vAlign w:val="top"/>
          </w:tcPr>
          <w:p>
            <w:pPr>
              <w:jc w:val="both"/>
            </w:pPr>
            <w:r>
              <w:rPr>
                <w:sz w:val="21"/>
              </w:rPr>
              <w:t>无灰尘、污迹，外表无粘附物、无过分异味，保持洁净；果皮箱内垃圾不积压、不满溢。</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46"/>
            <w:tcBorders>
              <w:top w:val="none" w:color="000000" w:sz="4"/>
              <w:left w:val="single" w:color="000000" w:sz="4"/>
              <w:bottom w:val="single" w:color="000000" w:sz="4"/>
              <w:right w:val="single" w:color="000000" w:sz="4"/>
            </w:tcBorders>
            <w:vAlign w:val="top"/>
          </w:tcPr>
          <w:p>
            <w:pPr>
              <w:jc w:val="both"/>
            </w:pPr>
            <w:r>
              <w:rPr>
                <w:sz w:val="21"/>
              </w:rPr>
              <w:t>路灯、广播、杆座、护栏、门闸。</w:t>
            </w:r>
          </w:p>
        </w:tc>
        <w:tc>
          <w:tcPr>
            <w:tcW w:type="dxa" w:w="2763"/>
            <w:tcBorders>
              <w:top w:val="none" w:color="000000" w:sz="4"/>
              <w:left w:val="single" w:color="000000" w:sz="4"/>
              <w:bottom w:val="single" w:color="000000" w:sz="4"/>
              <w:right w:val="single" w:color="000000" w:sz="4"/>
            </w:tcBorders>
            <w:vAlign w:val="top"/>
          </w:tcPr>
          <w:p>
            <w:pPr>
              <w:jc w:val="both"/>
            </w:pPr>
            <w:r>
              <w:rPr>
                <w:sz w:val="21"/>
              </w:rPr>
              <w:t>每周抹擦一次。</w:t>
            </w:r>
          </w:p>
        </w:tc>
        <w:tc>
          <w:tcPr>
            <w:tcW w:type="dxa" w:w="2645"/>
            <w:tcBorders>
              <w:top w:val="none" w:color="000000" w:sz="4"/>
              <w:left w:val="single" w:color="000000" w:sz="4"/>
              <w:bottom w:val="single" w:color="000000" w:sz="4"/>
              <w:right w:val="single" w:color="000000" w:sz="4"/>
            </w:tcBorders>
            <w:vAlign w:val="top"/>
          </w:tcPr>
          <w:p>
            <w:pPr>
              <w:jc w:val="both"/>
            </w:pPr>
            <w:r>
              <w:rPr>
                <w:sz w:val="21"/>
              </w:rPr>
              <w:t>洁净、无污迹。</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246"/>
            <w:tcBorders>
              <w:top w:val="none" w:color="000000" w:sz="4"/>
              <w:left w:val="single" w:color="000000" w:sz="4"/>
              <w:bottom w:val="single" w:color="000000" w:sz="4"/>
              <w:right w:val="single" w:color="000000" w:sz="4"/>
            </w:tcBorders>
            <w:vAlign w:val="top"/>
          </w:tcPr>
          <w:p>
            <w:pPr>
              <w:jc w:val="both"/>
            </w:pPr>
            <w:r>
              <w:rPr>
                <w:sz w:val="21"/>
              </w:rPr>
              <w:t>花基、路侧石。</w:t>
            </w:r>
          </w:p>
        </w:tc>
        <w:tc>
          <w:tcPr>
            <w:tcW w:type="dxa" w:w="2763"/>
            <w:tcBorders>
              <w:top w:val="none" w:color="000000" w:sz="4"/>
              <w:left w:val="single" w:color="000000" w:sz="4"/>
              <w:bottom w:val="single" w:color="000000" w:sz="4"/>
              <w:right w:val="single" w:color="000000" w:sz="4"/>
            </w:tcBorders>
            <w:vAlign w:val="top"/>
          </w:tcPr>
          <w:p>
            <w:pPr>
              <w:jc w:val="both"/>
            </w:pPr>
            <w:r>
              <w:rPr>
                <w:sz w:val="21"/>
              </w:rPr>
              <w:t>每周擦洗一次。</w:t>
            </w:r>
          </w:p>
        </w:tc>
        <w:tc>
          <w:tcPr>
            <w:tcW w:type="dxa" w:w="2645"/>
            <w:tcBorders>
              <w:top w:val="none" w:color="000000" w:sz="4"/>
              <w:left w:val="single" w:color="000000" w:sz="4"/>
              <w:bottom w:val="single" w:color="000000" w:sz="4"/>
              <w:right w:val="single" w:color="000000" w:sz="4"/>
            </w:tcBorders>
            <w:vAlign w:val="top"/>
          </w:tcPr>
          <w:p>
            <w:pPr>
              <w:jc w:val="both"/>
            </w:pPr>
            <w:r>
              <w:rPr>
                <w:sz w:val="21"/>
              </w:rPr>
              <w:t>干净、无污迹。</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46"/>
            <w:tcBorders>
              <w:top w:val="none" w:color="000000" w:sz="4"/>
              <w:left w:val="single" w:color="000000" w:sz="4"/>
              <w:bottom w:val="single" w:color="000000" w:sz="4"/>
              <w:right w:val="single" w:color="000000" w:sz="4"/>
            </w:tcBorders>
            <w:vAlign w:val="top"/>
          </w:tcPr>
          <w:p>
            <w:pPr>
              <w:jc w:val="both"/>
            </w:pPr>
            <w:r>
              <w:rPr>
                <w:sz w:val="21"/>
              </w:rPr>
              <w:t>明渠、沙井。</w:t>
            </w:r>
          </w:p>
        </w:tc>
        <w:tc>
          <w:tcPr>
            <w:tcW w:type="dxa" w:w="2763"/>
            <w:tcBorders>
              <w:top w:val="none" w:color="000000" w:sz="4"/>
              <w:left w:val="single" w:color="000000" w:sz="4"/>
              <w:bottom w:val="single" w:color="000000" w:sz="4"/>
              <w:right w:val="single" w:color="000000" w:sz="4"/>
            </w:tcBorders>
            <w:vAlign w:val="top"/>
          </w:tcPr>
          <w:p>
            <w:pPr>
              <w:jc w:val="both"/>
            </w:pPr>
            <w:r>
              <w:rPr>
                <w:sz w:val="21"/>
              </w:rPr>
              <w:t>明渠每天清扫一次，沙井每月清理一次。</w:t>
            </w:r>
          </w:p>
        </w:tc>
        <w:tc>
          <w:tcPr>
            <w:tcW w:type="dxa" w:w="2645"/>
            <w:tcBorders>
              <w:top w:val="none" w:color="000000" w:sz="4"/>
              <w:left w:val="single" w:color="000000" w:sz="4"/>
              <w:bottom w:val="single" w:color="000000" w:sz="4"/>
              <w:right w:val="single" w:color="000000" w:sz="4"/>
            </w:tcBorders>
            <w:vAlign w:val="top"/>
          </w:tcPr>
          <w:p>
            <w:pPr>
              <w:jc w:val="both"/>
            </w:pPr>
            <w:r>
              <w:rPr>
                <w:sz w:val="21"/>
              </w:rPr>
              <w:t>明渠及沙井干净，无垃圾、落叶、泥沙、积水、无淤泥堆积，井盖干净。</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246"/>
            <w:tcBorders>
              <w:top w:val="none" w:color="000000" w:sz="4"/>
              <w:left w:val="single" w:color="000000" w:sz="4"/>
              <w:bottom w:val="single" w:color="000000" w:sz="4"/>
              <w:right w:val="single" w:color="000000" w:sz="4"/>
            </w:tcBorders>
            <w:vAlign w:val="top"/>
          </w:tcPr>
          <w:p>
            <w:pPr>
              <w:jc w:val="both"/>
            </w:pPr>
            <w:r>
              <w:rPr>
                <w:sz w:val="21"/>
              </w:rPr>
              <w:t>公厕。</w:t>
            </w:r>
          </w:p>
        </w:tc>
        <w:tc>
          <w:tcPr>
            <w:tcW w:type="dxa" w:w="2763"/>
            <w:tcBorders>
              <w:top w:val="none" w:color="000000" w:sz="4"/>
              <w:left w:val="single" w:color="000000" w:sz="4"/>
              <w:bottom w:val="single" w:color="000000" w:sz="4"/>
              <w:right w:val="single" w:color="000000" w:sz="4"/>
            </w:tcBorders>
            <w:vAlign w:val="top"/>
          </w:tcPr>
          <w:p>
            <w:pPr>
              <w:jc w:val="both"/>
            </w:pPr>
            <w:r>
              <w:rPr>
                <w:sz w:val="21"/>
              </w:rPr>
              <w:t>按二类公厕二级质量标准进行保洁。专人管理公厕，每天上、下午各清洗二次，全天保洁；定期放置除臭剂、芳香球</w:t>
            </w:r>
            <w:r>
              <w:rPr>
                <w:sz w:val="21"/>
              </w:rPr>
              <w:t>/</w:t>
            </w:r>
            <w:r>
              <w:rPr>
                <w:sz w:val="21"/>
              </w:rPr>
              <w:t>喷香剂</w:t>
            </w:r>
            <w:r>
              <w:rPr>
                <w:sz w:val="21"/>
              </w:rPr>
              <w:t>/</w:t>
            </w:r>
            <w:r>
              <w:rPr>
                <w:sz w:val="21"/>
              </w:rPr>
              <w:t>香薰、蚊香等用品，且随缺随补。</w:t>
            </w:r>
          </w:p>
        </w:tc>
        <w:tc>
          <w:tcPr>
            <w:tcW w:type="dxa" w:w="2645"/>
            <w:tcBorders>
              <w:top w:val="none" w:color="000000" w:sz="4"/>
              <w:left w:val="single" w:color="000000" w:sz="4"/>
              <w:bottom w:val="single" w:color="000000" w:sz="4"/>
              <w:right w:val="single" w:color="000000" w:sz="4"/>
            </w:tcBorders>
            <w:vAlign w:val="top"/>
          </w:tcPr>
          <w:p>
            <w:pPr>
              <w:jc w:val="both"/>
            </w:pPr>
            <w:r>
              <w:rPr>
                <w:sz w:val="21"/>
              </w:rPr>
              <w:t>无污迹、无臭味、水道通畅，达到</w:t>
            </w:r>
            <w:r>
              <w:rPr>
                <w:sz w:val="21"/>
              </w:rPr>
              <w:t>“</w:t>
            </w:r>
            <w:r>
              <w:rPr>
                <w:sz w:val="21"/>
              </w:rPr>
              <w:t>十净、十无、三无</w:t>
            </w:r>
            <w:r>
              <w:rPr>
                <w:sz w:val="21"/>
              </w:rPr>
              <w:t>”</w:t>
            </w:r>
            <w:r>
              <w:rPr>
                <w:sz w:val="21"/>
              </w:rPr>
              <w:t>；保持公厕内空气清新。</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246"/>
            <w:tcBorders>
              <w:top w:val="none" w:color="000000" w:sz="4"/>
              <w:left w:val="single" w:color="000000" w:sz="4"/>
              <w:bottom w:val="single" w:color="000000" w:sz="4"/>
              <w:right w:val="single" w:color="000000" w:sz="4"/>
            </w:tcBorders>
            <w:vAlign w:val="top"/>
          </w:tcPr>
          <w:p>
            <w:pPr>
              <w:jc w:val="both"/>
            </w:pPr>
            <w:r>
              <w:rPr>
                <w:sz w:val="21"/>
              </w:rPr>
              <w:t>湖体、水池。</w:t>
            </w:r>
          </w:p>
        </w:tc>
        <w:tc>
          <w:tcPr>
            <w:tcW w:type="dxa" w:w="2763"/>
            <w:tcBorders>
              <w:top w:val="none" w:color="000000" w:sz="4"/>
              <w:left w:val="single" w:color="000000" w:sz="4"/>
              <w:bottom w:val="single" w:color="000000" w:sz="4"/>
              <w:right w:val="single" w:color="000000" w:sz="4"/>
            </w:tcBorders>
            <w:vAlign w:val="top"/>
          </w:tcPr>
          <w:p>
            <w:pPr>
              <w:jc w:val="both"/>
            </w:pPr>
            <w:r>
              <w:rPr>
                <w:sz w:val="21"/>
              </w:rPr>
              <w:t>全天保洁。</w:t>
            </w:r>
          </w:p>
        </w:tc>
        <w:tc>
          <w:tcPr>
            <w:tcW w:type="dxa" w:w="2645"/>
            <w:tcBorders>
              <w:top w:val="none" w:color="000000" w:sz="4"/>
              <w:left w:val="single" w:color="000000" w:sz="4"/>
              <w:bottom w:val="single" w:color="000000" w:sz="4"/>
              <w:right w:val="single" w:color="000000" w:sz="4"/>
            </w:tcBorders>
            <w:vAlign w:val="top"/>
          </w:tcPr>
          <w:p>
            <w:pPr>
              <w:jc w:val="both"/>
            </w:pPr>
            <w:r>
              <w:rPr>
                <w:sz w:val="21"/>
              </w:rPr>
              <w:t>保持干净、清洁，无漂浮杂物，无异味，无蚊虫滋生。</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246"/>
            <w:tcBorders>
              <w:top w:val="none" w:color="000000" w:sz="4"/>
              <w:left w:val="single" w:color="000000" w:sz="4"/>
              <w:bottom w:val="single" w:color="000000" w:sz="4"/>
              <w:right w:val="single" w:color="000000" w:sz="4"/>
            </w:tcBorders>
            <w:vAlign w:val="top"/>
          </w:tcPr>
          <w:p>
            <w:pPr>
              <w:jc w:val="both"/>
            </w:pPr>
            <w:r>
              <w:rPr>
                <w:sz w:val="21"/>
              </w:rPr>
              <w:t>清理绿化带内所有垃圾。</w:t>
            </w:r>
          </w:p>
        </w:tc>
        <w:tc>
          <w:tcPr>
            <w:tcW w:type="dxa" w:w="2763"/>
            <w:tcBorders>
              <w:top w:val="none" w:color="000000" w:sz="4"/>
              <w:left w:val="single" w:color="000000" w:sz="4"/>
              <w:bottom w:val="single" w:color="000000" w:sz="4"/>
              <w:right w:val="single" w:color="000000" w:sz="4"/>
            </w:tcBorders>
            <w:vAlign w:val="top"/>
          </w:tcPr>
          <w:p>
            <w:pPr>
              <w:jc w:val="both"/>
            </w:pPr>
            <w:r>
              <w:rPr>
                <w:sz w:val="21"/>
              </w:rPr>
              <w:t>全天保洁。</w:t>
            </w:r>
          </w:p>
        </w:tc>
        <w:tc>
          <w:tcPr>
            <w:tcW w:type="dxa" w:w="2645"/>
            <w:tcBorders>
              <w:top w:val="none" w:color="000000" w:sz="4"/>
              <w:left w:val="single" w:color="000000" w:sz="4"/>
              <w:bottom w:val="single" w:color="000000" w:sz="4"/>
              <w:right w:val="single" w:color="000000" w:sz="4"/>
            </w:tcBorders>
            <w:vAlign w:val="top"/>
          </w:tcPr>
          <w:p>
            <w:pPr>
              <w:jc w:val="both"/>
            </w:pPr>
            <w:r>
              <w:rPr>
                <w:sz w:val="21"/>
              </w:rPr>
              <w:t>无垃圾、杂物。</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246"/>
            <w:tcBorders>
              <w:top w:val="none" w:color="000000" w:sz="4"/>
              <w:left w:val="single" w:color="000000" w:sz="4"/>
              <w:bottom w:val="single" w:color="000000" w:sz="4"/>
              <w:right w:val="single" w:color="000000" w:sz="4"/>
            </w:tcBorders>
            <w:vAlign w:val="top"/>
          </w:tcPr>
          <w:p>
            <w:pPr>
              <w:jc w:val="both"/>
            </w:pPr>
            <w:r>
              <w:rPr>
                <w:sz w:val="21"/>
              </w:rPr>
              <w:t>清理化粪池。</w:t>
            </w:r>
          </w:p>
        </w:tc>
        <w:tc>
          <w:tcPr>
            <w:tcW w:type="dxa" w:w="2763"/>
            <w:tcBorders>
              <w:top w:val="none" w:color="000000" w:sz="4"/>
              <w:left w:val="single" w:color="000000" w:sz="4"/>
              <w:bottom w:val="single" w:color="000000" w:sz="4"/>
              <w:right w:val="single" w:color="000000" w:sz="4"/>
            </w:tcBorders>
            <w:vAlign w:val="top"/>
          </w:tcPr>
          <w:p>
            <w:pPr>
              <w:jc w:val="both"/>
            </w:pPr>
            <w:r>
              <w:rPr>
                <w:sz w:val="21"/>
              </w:rPr>
              <w:t>捞清残渣，每季度清理一次。</w:t>
            </w:r>
          </w:p>
        </w:tc>
        <w:tc>
          <w:tcPr>
            <w:tcW w:type="dxa" w:w="2645"/>
            <w:tcBorders>
              <w:top w:val="none" w:color="000000" w:sz="4"/>
              <w:left w:val="single" w:color="000000" w:sz="4"/>
              <w:bottom w:val="single" w:color="000000" w:sz="4"/>
              <w:right w:val="single" w:color="000000" w:sz="4"/>
            </w:tcBorders>
            <w:vAlign w:val="top"/>
          </w:tcPr>
          <w:p>
            <w:pPr>
              <w:jc w:val="both"/>
            </w:pPr>
            <w:r>
              <w:rPr>
                <w:sz w:val="21"/>
              </w:rPr>
              <w:t>清洁，无蝇蛆，基本无臭味。</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246"/>
            <w:tcBorders>
              <w:top w:val="none" w:color="000000" w:sz="4"/>
              <w:left w:val="single" w:color="000000" w:sz="4"/>
              <w:bottom w:val="single" w:color="000000" w:sz="4"/>
              <w:right w:val="single" w:color="000000" w:sz="4"/>
            </w:tcBorders>
            <w:vAlign w:val="top"/>
          </w:tcPr>
          <w:p>
            <w:pPr>
              <w:jc w:val="both"/>
            </w:pPr>
            <w:r>
              <w:rPr>
                <w:sz w:val="21"/>
              </w:rPr>
              <w:t>清运垃圾。</w:t>
            </w:r>
          </w:p>
        </w:tc>
        <w:tc>
          <w:tcPr>
            <w:tcW w:type="dxa" w:w="2763"/>
            <w:tcBorders>
              <w:top w:val="none" w:color="000000" w:sz="4"/>
              <w:left w:val="single" w:color="000000" w:sz="4"/>
              <w:bottom w:val="single" w:color="000000" w:sz="4"/>
              <w:right w:val="single" w:color="000000" w:sz="4"/>
            </w:tcBorders>
            <w:vAlign w:val="top"/>
          </w:tcPr>
          <w:p>
            <w:pPr>
              <w:jc w:val="both"/>
            </w:pPr>
            <w:r>
              <w:rPr>
                <w:sz w:val="21"/>
              </w:rPr>
              <w:t>每天清运垃圾一次，每天清扫、清洗垃圾池一次，每周喷药消毒一次。</w:t>
            </w:r>
          </w:p>
        </w:tc>
        <w:tc>
          <w:tcPr>
            <w:tcW w:type="dxa" w:w="2645"/>
            <w:tcBorders>
              <w:top w:val="none" w:color="000000" w:sz="4"/>
              <w:left w:val="single" w:color="000000" w:sz="4"/>
              <w:bottom w:val="single" w:color="000000" w:sz="4"/>
              <w:right w:val="single" w:color="000000" w:sz="4"/>
            </w:tcBorders>
            <w:vAlign w:val="top"/>
          </w:tcPr>
          <w:p>
            <w:pPr>
              <w:jc w:val="both"/>
            </w:pPr>
            <w:r>
              <w:rPr>
                <w:sz w:val="21"/>
              </w:rPr>
              <w:t>保证垃圾日产日清，保持垃圾池干净、无过分异味。</w:t>
            </w:r>
          </w:p>
        </w:tc>
      </w:tr>
    </w:tbl>
    <w:p>
      <w:pPr>
        <w:ind w:firstLine="420"/>
        <w:jc w:val="both"/>
      </w:pPr>
      <w:r>
        <w:rPr>
          <w:sz w:val="21"/>
        </w:rPr>
        <w:t>3.</w:t>
      </w:r>
      <w:r>
        <w:rPr>
          <w:sz w:val="21"/>
        </w:rPr>
        <w:t>乙方必须配备高压清洗机、洗地机、扫地机、斗车、水管、扫把、拖把、垃圾铲、毛巾、洁厕精、清洁剂、垃圾袋、汽油、机油等公园日常保洁工作中所需的各种机械设备、工具和物料。</w:t>
      </w:r>
    </w:p>
    <w:p>
      <w:pPr>
        <w:ind w:firstLine="420"/>
        <w:jc w:val="both"/>
      </w:pPr>
      <w:r>
        <w:rPr>
          <w:sz w:val="21"/>
        </w:rPr>
        <w:t>4.</w:t>
      </w:r>
      <w:r>
        <w:rPr>
          <w:sz w:val="21"/>
        </w:rPr>
        <w:t>重大节日或上级部门检查前，乙方须配合甲方做好园内各项卫生保洁工作，确保检查顺利通过。</w:t>
      </w:r>
    </w:p>
    <w:p>
      <w:pPr>
        <w:ind w:firstLine="420"/>
        <w:jc w:val="both"/>
      </w:pPr>
      <w:r>
        <w:rPr>
          <w:sz w:val="21"/>
        </w:rPr>
        <w:t>5.</w:t>
      </w:r>
      <w:r>
        <w:rPr>
          <w:sz w:val="21"/>
        </w:rPr>
        <w:t>园内垃圾须分类堆放处理，日产日清，须保证每天下午</w:t>
      </w:r>
      <w:r>
        <w:rPr>
          <w:sz w:val="21"/>
        </w:rPr>
        <w:t>5</w:t>
      </w:r>
      <w:r>
        <w:rPr>
          <w:sz w:val="21"/>
        </w:rPr>
        <w:t>：</w:t>
      </w:r>
      <w:r>
        <w:rPr>
          <w:sz w:val="21"/>
        </w:rPr>
        <w:t>00</w:t>
      </w:r>
      <w:r>
        <w:rPr>
          <w:sz w:val="21"/>
        </w:rPr>
        <w:t>后派车收运垃圾收集点的垃圾，并打扫收集点的环境卫生，每月进行一次全面喷药消毒。乙方须完成垃圾外运和厕所抽粪清运工作，所需费用由乙方支付。</w:t>
      </w:r>
    </w:p>
    <w:p>
      <w:pPr>
        <w:ind w:firstLine="420"/>
        <w:jc w:val="both"/>
      </w:pPr>
      <w:r>
        <w:rPr>
          <w:sz w:val="21"/>
        </w:rPr>
        <w:t>6.</w:t>
      </w:r>
      <w:r>
        <w:rPr>
          <w:sz w:val="21"/>
        </w:rPr>
        <w:t>乙方需按要求定期清理公园内的沟渠，及时清理卫生死角。定期对垃圾池进行清理和喷药消毒，每周不少于一次，遇重大节日和活动应增加清理和喷药消毒次数。</w:t>
      </w:r>
    </w:p>
    <w:p>
      <w:pPr>
        <w:ind w:firstLine="420"/>
        <w:jc w:val="both"/>
      </w:pPr>
      <w:r>
        <w:rPr>
          <w:sz w:val="21"/>
        </w:rPr>
        <w:t>7.</w:t>
      </w:r>
      <w:r>
        <w:rPr>
          <w:sz w:val="21"/>
        </w:rPr>
        <w:t>乙方须按要求落实公厕管理相关工作，按规定在公厕内放置除臭剂、芳香球</w:t>
      </w:r>
      <w:r>
        <w:rPr>
          <w:sz w:val="21"/>
        </w:rPr>
        <w:t>/</w:t>
      </w:r>
      <w:r>
        <w:rPr>
          <w:sz w:val="21"/>
        </w:rPr>
        <w:t>喷香剂</w:t>
      </w:r>
      <w:r>
        <w:rPr>
          <w:sz w:val="21"/>
        </w:rPr>
        <w:t>/</w:t>
      </w:r>
      <w:r>
        <w:rPr>
          <w:sz w:val="21"/>
        </w:rPr>
        <w:t>香薰、蚊香、洗手液、厕纸、擦手纸等，并及时检查使用情况，做到随缺随补，所需费用由乙方承担。</w:t>
      </w:r>
    </w:p>
    <w:p>
      <w:pPr>
        <w:ind w:firstLine="420"/>
        <w:jc w:val="both"/>
      </w:pPr>
      <w:r>
        <w:rPr>
          <w:sz w:val="21"/>
        </w:rPr>
        <w:t>8.</w:t>
      </w:r>
      <w:r>
        <w:rPr>
          <w:sz w:val="21"/>
        </w:rPr>
        <w:t>乙方应做到安全作业，作业人员要佩带（穿）明显标志，工作区间放置作业标牌或警示标志。作业人员夜间作业要外穿反光服。高空作业须采取有效防护措施，高空作业人员必须持有高处作业证方能上岗作业，如高空作业人员未持有高处作业证上岗作业发生安全事故，一切责任由乙方承担。</w:t>
      </w:r>
    </w:p>
    <w:p>
      <w:pPr>
        <w:ind w:firstLine="420"/>
        <w:jc w:val="both"/>
      </w:pPr>
      <w:r>
        <w:rPr>
          <w:sz w:val="21"/>
        </w:rPr>
        <w:t>（三）除四害工作</w:t>
      </w:r>
    </w:p>
    <w:p>
      <w:pPr>
        <w:ind w:firstLine="420"/>
        <w:jc w:val="both"/>
      </w:pPr>
      <w:r>
        <w:rPr>
          <w:sz w:val="21"/>
        </w:rPr>
        <w:t>1.</w:t>
      </w:r>
      <w:r>
        <w:rPr>
          <w:sz w:val="21"/>
        </w:rPr>
        <w:t>除四害服务质量应按照《广州市公园条例》、《广州市公园管理规范》、《广州市鼠虫害防治条例》、《广州有害生物防制服务行业管理办法》等国家、行业和地方现行相关标准、规范执行，若项目服务期内国家、行业和地方颁布新的标准、规范，则按最新的标准、规范执行；应达到省、市、区、街等职能部门布置的有关要求，确保在服务期内服务的当次当期项目质量符合标准。</w:t>
      </w:r>
    </w:p>
    <w:p>
      <w:pPr>
        <w:ind w:firstLine="420"/>
        <w:jc w:val="both"/>
      </w:pPr>
      <w:r>
        <w:rPr>
          <w:sz w:val="21"/>
        </w:rPr>
        <w:t>2.</w:t>
      </w:r>
      <w:r>
        <w:rPr>
          <w:sz w:val="21"/>
        </w:rPr>
        <w:t>为保障消杀工作质量，乙方必须配备足够的设备服务于本项目，须包括但不限于以下设备：</w:t>
      </w:r>
    </w:p>
    <w:tbl>
      <w:tblPr>
        <w:tblW w:w="0" w:type="auto"/>
        <w:tblBorders>
          <w:top w:val="none" w:color="000000" w:sz="4"/>
          <w:left w:val="none" w:color="000000" w:sz="4"/>
          <w:bottom w:val="none" w:color="000000" w:sz="4"/>
          <w:right w:val="none" w:color="000000" w:sz="4"/>
          <w:insideH w:val="none"/>
          <w:insideV w:val="none"/>
        </w:tblBorders>
      </w:tblPr>
      <w:tblGrid>
        <w:gridCol w:w="1291"/>
        <w:gridCol w:w="4137"/>
        <w:gridCol w:w="2878"/>
      </w:tblGrid>
      <w:tr>
        <w:tc>
          <w:tcPr>
            <w:tcW w:type="dxa" w:w="129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137"/>
            <w:tcBorders>
              <w:top w:val="single" w:color="000000" w:sz="4"/>
              <w:left w:val="none" w:color="000000" w:sz="4"/>
              <w:bottom w:val="single" w:color="000000" w:sz="4"/>
              <w:right w:val="single" w:color="000000" w:sz="4"/>
            </w:tcBorders>
            <w:vAlign w:val="top"/>
          </w:tcPr>
          <w:p>
            <w:pPr>
              <w:jc w:val="center"/>
            </w:pPr>
            <w:r>
              <w:rPr>
                <w:b/>
                <w:sz w:val="21"/>
              </w:rPr>
              <w:t>名称</w:t>
            </w:r>
          </w:p>
        </w:tc>
        <w:tc>
          <w:tcPr>
            <w:tcW w:type="dxa" w:w="2878"/>
            <w:tcBorders>
              <w:top w:val="single" w:color="000000" w:sz="4"/>
              <w:left w:val="none" w:color="000000" w:sz="4"/>
              <w:bottom w:val="single" w:color="000000" w:sz="4"/>
              <w:right w:val="single" w:color="000000" w:sz="4"/>
            </w:tcBorders>
            <w:vAlign w:val="top"/>
          </w:tcPr>
          <w:p>
            <w:pPr>
              <w:jc w:val="center"/>
            </w:pPr>
            <w:r>
              <w:rPr>
                <w:b/>
                <w:sz w:val="21"/>
              </w:rPr>
              <w:t>要求</w:t>
            </w:r>
          </w:p>
        </w:tc>
      </w:tr>
      <w:tr>
        <w:tc>
          <w:tcPr>
            <w:tcW w:type="dxa" w:w="12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37"/>
            <w:tcBorders>
              <w:top w:val="none" w:color="000000" w:sz="4"/>
              <w:left w:val="none" w:color="000000" w:sz="4"/>
              <w:bottom w:val="single" w:color="000000" w:sz="4"/>
              <w:right w:val="single" w:color="000000" w:sz="4"/>
            </w:tcBorders>
            <w:vAlign w:val="top"/>
          </w:tcPr>
          <w:p>
            <w:pPr>
              <w:jc w:val="center"/>
            </w:pPr>
            <w:r>
              <w:rPr>
                <w:sz w:val="21"/>
              </w:rPr>
              <w:t>消杀工作车</w:t>
            </w:r>
          </w:p>
        </w:tc>
        <w:tc>
          <w:tcPr>
            <w:tcW w:type="dxa" w:w="2878"/>
            <w:tcBorders>
              <w:top w:val="none" w:color="000000" w:sz="4"/>
              <w:left w:val="none" w:color="000000" w:sz="4"/>
              <w:bottom w:val="single" w:color="000000" w:sz="4"/>
              <w:right w:val="single" w:color="000000" w:sz="4"/>
            </w:tcBorders>
            <w:vAlign w:val="top"/>
          </w:tcPr>
          <w:p>
            <w:pPr>
              <w:jc w:val="center"/>
            </w:pPr>
            <w:r>
              <w:rPr>
                <w:sz w:val="21"/>
              </w:rPr>
              <w:t>机动车</w:t>
            </w:r>
          </w:p>
        </w:tc>
      </w:tr>
      <w:tr>
        <w:tc>
          <w:tcPr>
            <w:tcW w:type="dxa" w:w="12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37"/>
            <w:tcBorders>
              <w:top w:val="none" w:color="000000" w:sz="4"/>
              <w:left w:val="none" w:color="000000" w:sz="4"/>
              <w:bottom w:val="single" w:color="000000" w:sz="4"/>
              <w:right w:val="single" w:color="000000" w:sz="4"/>
            </w:tcBorders>
            <w:vAlign w:val="top"/>
          </w:tcPr>
          <w:p>
            <w:pPr>
              <w:jc w:val="center"/>
            </w:pPr>
            <w:r>
              <w:rPr>
                <w:sz w:val="21"/>
              </w:rPr>
              <w:t>大功率手推车式机动</w:t>
            </w:r>
            <w:r>
              <w:rPr>
                <w:sz w:val="21"/>
              </w:rPr>
              <w:t>/</w:t>
            </w:r>
            <w:r>
              <w:rPr>
                <w:sz w:val="21"/>
              </w:rPr>
              <w:t>电动喷雾机</w:t>
            </w:r>
          </w:p>
        </w:tc>
        <w:tc>
          <w:tcPr>
            <w:tcW w:type="dxa" w:w="2878"/>
            <w:tcBorders>
              <w:top w:val="none" w:color="000000" w:sz="4"/>
              <w:left w:val="none" w:color="000000" w:sz="4"/>
              <w:bottom w:val="single" w:color="000000" w:sz="4"/>
              <w:right w:val="single" w:color="000000" w:sz="4"/>
            </w:tcBorders>
            <w:vAlign w:val="top"/>
          </w:tcPr>
          <w:p>
            <w:pPr>
              <w:jc w:val="center"/>
            </w:pPr>
            <w:r>
              <w:rPr>
                <w:sz w:val="21"/>
              </w:rPr>
              <w:t>≥160</w:t>
            </w:r>
            <w:r>
              <w:rPr>
                <w:sz w:val="21"/>
              </w:rPr>
              <w:t>升</w:t>
            </w:r>
          </w:p>
        </w:tc>
      </w:tr>
      <w:tr>
        <w:tc>
          <w:tcPr>
            <w:tcW w:type="dxa" w:w="129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137"/>
            <w:tcBorders>
              <w:top w:val="none" w:color="000000" w:sz="4"/>
              <w:left w:val="none" w:color="000000" w:sz="4"/>
              <w:bottom w:val="single" w:color="000000" w:sz="4"/>
              <w:right w:val="single" w:color="000000" w:sz="4"/>
            </w:tcBorders>
            <w:vAlign w:val="top"/>
          </w:tcPr>
          <w:p>
            <w:pPr>
              <w:jc w:val="center"/>
            </w:pPr>
            <w:r>
              <w:rPr>
                <w:sz w:val="21"/>
              </w:rPr>
              <w:t>背负式机动</w:t>
            </w:r>
            <w:r>
              <w:rPr>
                <w:sz w:val="21"/>
              </w:rPr>
              <w:t>/</w:t>
            </w:r>
            <w:r>
              <w:rPr>
                <w:sz w:val="21"/>
              </w:rPr>
              <w:t>电动喷雾机</w:t>
            </w:r>
          </w:p>
        </w:tc>
        <w:tc>
          <w:tcPr>
            <w:tcW w:type="dxa" w:w="2878"/>
            <w:tcBorders>
              <w:top w:val="none" w:color="000000" w:sz="4"/>
              <w:left w:val="none" w:color="000000" w:sz="4"/>
              <w:bottom w:val="single" w:color="000000" w:sz="4"/>
              <w:right w:val="single" w:color="000000" w:sz="4"/>
            </w:tcBorders>
            <w:vAlign w:val="top"/>
          </w:tcPr>
          <w:p>
            <w:pPr>
              <w:jc w:val="center"/>
            </w:pPr>
            <w:r>
              <w:rPr>
                <w:sz w:val="21"/>
              </w:rPr>
              <w:t>≥20</w:t>
            </w:r>
            <w:r>
              <w:rPr>
                <w:sz w:val="21"/>
              </w:rPr>
              <w:t>升</w:t>
            </w:r>
          </w:p>
        </w:tc>
      </w:tr>
      <w:tr>
        <w:tc>
          <w:tcPr>
            <w:tcW w:type="dxa" w:w="129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137"/>
            <w:tcBorders>
              <w:top w:val="none" w:color="000000" w:sz="4"/>
              <w:left w:val="none" w:color="000000" w:sz="4"/>
              <w:bottom w:val="single" w:color="000000" w:sz="4"/>
              <w:right w:val="single" w:color="000000" w:sz="4"/>
            </w:tcBorders>
            <w:vAlign w:val="top"/>
          </w:tcPr>
          <w:p>
            <w:pPr>
              <w:jc w:val="center"/>
            </w:pPr>
            <w:r>
              <w:rPr>
                <w:sz w:val="21"/>
              </w:rPr>
              <w:t>烟雾机</w:t>
            </w:r>
          </w:p>
        </w:tc>
        <w:tc>
          <w:tcPr>
            <w:tcW w:type="dxa" w:w="2878"/>
            <w:tcBorders>
              <w:top w:val="none" w:color="000000" w:sz="4"/>
              <w:left w:val="none" w:color="000000" w:sz="4"/>
              <w:bottom w:val="single" w:color="000000" w:sz="4"/>
              <w:right w:val="single" w:color="000000" w:sz="4"/>
            </w:tcBorders>
            <w:vAlign w:val="top"/>
          </w:tcPr>
          <w:p>
            <w:pPr>
              <w:jc w:val="center"/>
            </w:pPr>
            <w:r>
              <w:rPr>
                <w:sz w:val="21"/>
              </w:rPr>
              <w:t>≥5</w:t>
            </w:r>
            <w:r>
              <w:rPr>
                <w:sz w:val="21"/>
              </w:rPr>
              <w:t>升</w:t>
            </w:r>
          </w:p>
        </w:tc>
      </w:tr>
    </w:tbl>
    <w:p>
      <w:pPr>
        <w:ind w:firstLine="420"/>
        <w:jc w:val="both"/>
      </w:pPr>
      <w:r>
        <w:rPr>
          <w:sz w:val="21"/>
        </w:rPr>
        <w:t>3.</w:t>
      </w:r>
      <w:r>
        <w:rPr>
          <w:sz w:val="21"/>
        </w:rPr>
        <w:t>消杀工作按次进行，每年</w:t>
      </w:r>
      <w:r>
        <w:rPr>
          <w:sz w:val="21"/>
        </w:rPr>
        <w:t>1-3</w:t>
      </w:r>
      <w:r>
        <w:rPr>
          <w:sz w:val="21"/>
        </w:rPr>
        <w:t>月份、</w:t>
      </w:r>
      <w:r>
        <w:rPr>
          <w:sz w:val="21"/>
        </w:rPr>
        <w:t>12</w:t>
      </w:r>
      <w:r>
        <w:rPr>
          <w:sz w:val="21"/>
        </w:rPr>
        <w:t>月份每月至少安排消杀</w:t>
      </w:r>
      <w:r>
        <w:rPr>
          <w:sz w:val="21"/>
        </w:rPr>
        <w:t>2</w:t>
      </w:r>
      <w:r>
        <w:rPr>
          <w:sz w:val="21"/>
        </w:rPr>
        <w:t>次，</w:t>
      </w:r>
      <w:r>
        <w:rPr>
          <w:sz w:val="21"/>
        </w:rPr>
        <w:t>4-11</w:t>
      </w:r>
      <w:r>
        <w:rPr>
          <w:sz w:val="21"/>
        </w:rPr>
        <w:t>月份每月至少安排消杀</w:t>
      </w:r>
      <w:r>
        <w:rPr>
          <w:sz w:val="21"/>
        </w:rPr>
        <w:t>4</w:t>
      </w:r>
      <w:r>
        <w:rPr>
          <w:sz w:val="21"/>
        </w:rPr>
        <w:t>次，每年每公园安排消杀不少于</w:t>
      </w:r>
      <w:r>
        <w:rPr>
          <w:sz w:val="21"/>
        </w:rPr>
        <w:t>40</w:t>
      </w:r>
      <w:r>
        <w:rPr>
          <w:sz w:val="21"/>
        </w:rPr>
        <w:t>次。乙方每月自行合理安排时间进行消杀工作（应提前</w:t>
      </w:r>
      <w:r>
        <w:rPr>
          <w:sz w:val="21"/>
        </w:rPr>
        <w:t>24</w:t>
      </w:r>
      <w:r>
        <w:rPr>
          <w:sz w:val="21"/>
        </w:rPr>
        <w:t>小时告知甲方），如遇特殊情况（蚊虫突然爆发、蚊媒密度指数超标、上级单位检查等），乙方需按甲方要求在当月临时增加消杀服务，消杀地点、时间由甲方根据实际需要提前</w:t>
      </w:r>
      <w:r>
        <w:rPr>
          <w:sz w:val="21"/>
        </w:rPr>
        <w:t>24</w:t>
      </w:r>
      <w:r>
        <w:rPr>
          <w:sz w:val="21"/>
        </w:rPr>
        <w:t>小时通知乙方，乙方应在接到甲方书面或口头通知后</w:t>
      </w:r>
      <w:r>
        <w:rPr>
          <w:sz w:val="21"/>
        </w:rPr>
        <w:t>24</w:t>
      </w:r>
      <w:r>
        <w:rPr>
          <w:sz w:val="21"/>
        </w:rPr>
        <w:t>小时内安排消杀工作，所需费用由乙方承担。具体消杀工作可由甲方视实际情况需要作出适当调整。</w:t>
      </w:r>
    </w:p>
    <w:p>
      <w:pPr>
        <w:ind w:firstLine="420"/>
        <w:jc w:val="both"/>
      </w:pPr>
      <w:r>
        <w:rPr>
          <w:sz w:val="21"/>
        </w:rPr>
        <w:t>4.</w:t>
      </w:r>
      <w:r>
        <w:rPr>
          <w:sz w:val="21"/>
        </w:rPr>
        <w:t>项目服务期内，乙方应配合甲方现场管理工作，每次投（施）药应联系甲方派人陪同并做好现场记录，按次进行验收签证。乙方进行消杀工作未通知甲方派人陪同导致无法验收的，视为乙方未完成消杀任务，一切责任由乙方承担。</w:t>
      </w:r>
    </w:p>
    <w:p>
      <w:pPr>
        <w:ind w:firstLine="420"/>
        <w:jc w:val="both"/>
      </w:pPr>
      <w:r>
        <w:rPr>
          <w:sz w:val="21"/>
        </w:rPr>
        <w:t>5.</w:t>
      </w:r>
      <w:r>
        <w:rPr>
          <w:sz w:val="21"/>
        </w:rPr>
        <w:t>乙方使用的器材、药物质量须符合国家有关要求和规定，在消杀过程中若因使用药物的质量问题导致公园内绿化植物出现干枯、萎靡不振的现象，情节严重、给甲方造成经济损失的，甲方有权根据损失情况按实扣减相应服务费。</w:t>
      </w:r>
    </w:p>
    <w:p>
      <w:pPr>
        <w:ind w:firstLine="420"/>
        <w:jc w:val="both"/>
      </w:pPr>
      <w:r>
        <w:rPr>
          <w:sz w:val="21"/>
        </w:rPr>
        <w:t>6.</w:t>
      </w:r>
      <w:r>
        <w:rPr>
          <w:sz w:val="21"/>
        </w:rPr>
        <w:t>乙方必须按药物说明规定的比例配制消杀药物，不达要求的，甲方视为无效药品不纳入月度消杀次数。</w:t>
      </w:r>
    </w:p>
    <w:p>
      <w:pPr>
        <w:ind w:firstLine="420"/>
        <w:jc w:val="both"/>
      </w:pPr>
      <w:r>
        <w:rPr>
          <w:sz w:val="21"/>
        </w:rPr>
        <w:t>7.</w:t>
      </w:r>
      <w:r>
        <w:rPr>
          <w:sz w:val="21"/>
        </w:rPr>
        <w:t>在服务过程中，乙方应配合公园管理工作的开展，在已完成消杀工作的区域设置相应温馨提示牌。因乙方未履行提醒义务造成人身伤害、财产损失的，由乙方承担赔偿责任。</w:t>
      </w:r>
    </w:p>
    <w:p>
      <w:pPr>
        <w:ind w:firstLine="420"/>
        <w:jc w:val="both"/>
      </w:pPr>
      <w:r>
        <w:rPr>
          <w:sz w:val="21"/>
        </w:rPr>
        <w:t>8.</w:t>
      </w:r>
      <w:r>
        <w:rPr>
          <w:sz w:val="21"/>
        </w:rPr>
        <w:t>乙方须组建应急队伍，制定除四害应急消杀方案。因特殊需要或发生公共突发事件，需要进行额外应急消杀时，乙方必须积极配合甲方落实应急消杀工作，费用由乙方承担，否则甲方可按合同违约条款终止合同。</w:t>
      </w:r>
    </w:p>
    <w:p>
      <w:pPr>
        <w:ind w:firstLine="420"/>
        <w:jc w:val="both"/>
      </w:pPr>
      <w:r>
        <w:rPr>
          <w:sz w:val="21"/>
        </w:rPr>
        <w:t>9.</w:t>
      </w:r>
      <w:r>
        <w:rPr>
          <w:sz w:val="21"/>
        </w:rPr>
        <w:t>在省、市、区病媒生物（鼠、蚊、蝇、蟑螂）密度监测中，如连续</w:t>
      </w:r>
      <w:r>
        <w:rPr>
          <w:sz w:val="21"/>
        </w:rPr>
        <w:t>2</w:t>
      </w:r>
      <w:r>
        <w:rPr>
          <w:sz w:val="21"/>
        </w:rPr>
        <w:t>次不合格，甲方可按合同违约条款终止合同；造成甲方工作被通报的，甲方有权向乙方下发整改通知书，要求乙方增加消杀次数直至监测合格，并扣减当月服务费的</w:t>
      </w:r>
      <w:r>
        <w:rPr>
          <w:sz w:val="21"/>
        </w:rPr>
        <w:t>8%</w:t>
      </w:r>
      <w:r>
        <w:rPr>
          <w:sz w:val="21"/>
        </w:rPr>
        <w:t>，增加消杀次数的费用由乙方承担。</w:t>
      </w:r>
    </w:p>
    <w:p>
      <w:pPr>
        <w:ind w:firstLine="420"/>
        <w:jc w:val="both"/>
      </w:pPr>
      <w:r>
        <w:rPr>
          <w:sz w:val="21"/>
        </w:rPr>
        <w:t>（四）白蚁防治工作</w:t>
      </w:r>
    </w:p>
    <w:p>
      <w:pPr>
        <w:ind w:firstLine="420"/>
        <w:jc w:val="both"/>
      </w:pPr>
      <w:r>
        <w:rPr>
          <w:sz w:val="21"/>
        </w:rPr>
        <w:t>1.</w:t>
      </w:r>
      <w:r>
        <w:rPr>
          <w:sz w:val="21"/>
        </w:rPr>
        <w:t>白蚁防治服务质量应按照《广州市公园条例》、《广州市公园管理规范》、《建筑物白蚁防治技术规范》（</w:t>
      </w:r>
      <w:r>
        <w:rPr>
          <w:sz w:val="21"/>
        </w:rPr>
        <w:t>DB4401/T 91-2020</w:t>
      </w:r>
      <w:r>
        <w:rPr>
          <w:sz w:val="21"/>
        </w:rPr>
        <w:t>）等国家、行业和地方现行相关标准、规范执行，若项目服务期内国家、行业和地方颁布新的标准、规范，则按最新的标准、规范执行；应达到省、市、区、街等职能部门布置的有关要求，确保在服务期内服务的当次当期项目质量符合标准。</w:t>
      </w:r>
    </w:p>
    <w:p>
      <w:pPr>
        <w:ind w:firstLine="420"/>
        <w:jc w:val="both"/>
      </w:pPr>
      <w:r>
        <w:rPr>
          <w:sz w:val="21"/>
        </w:rPr>
        <w:t>2.</w:t>
      </w:r>
      <w:r>
        <w:rPr>
          <w:sz w:val="21"/>
        </w:rPr>
        <w:t>为保障白蚁防治工作质量，乙方必须配备足够的设备服务于本项目，须包括但不限于以下设备：</w:t>
      </w:r>
    </w:p>
    <w:tbl>
      <w:tblPr>
        <w:tblW w:w="0" w:type="auto"/>
        <w:tblBorders>
          <w:top w:val="none" w:color="000000" w:sz="4"/>
          <w:left w:val="none" w:color="000000" w:sz="4"/>
          <w:bottom w:val="none" w:color="000000" w:sz="4"/>
          <w:right w:val="none" w:color="000000" w:sz="4"/>
          <w:insideH w:val="none"/>
          <w:insideV w:val="none"/>
        </w:tblBorders>
      </w:tblPr>
      <w:tblGrid>
        <w:gridCol w:w="1291"/>
        <w:gridCol w:w="4137"/>
        <w:gridCol w:w="2878"/>
      </w:tblGrid>
      <w:tr>
        <w:tc>
          <w:tcPr>
            <w:tcW w:type="dxa" w:w="129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137"/>
            <w:tcBorders>
              <w:top w:val="single" w:color="000000" w:sz="4"/>
              <w:left w:val="none" w:color="000000" w:sz="4"/>
              <w:bottom w:val="single" w:color="000000" w:sz="4"/>
              <w:right w:val="single" w:color="000000" w:sz="4"/>
            </w:tcBorders>
            <w:vAlign w:val="top"/>
          </w:tcPr>
          <w:p>
            <w:pPr>
              <w:jc w:val="center"/>
            </w:pPr>
            <w:r>
              <w:rPr>
                <w:b/>
                <w:sz w:val="21"/>
              </w:rPr>
              <w:t>名称</w:t>
            </w:r>
          </w:p>
        </w:tc>
        <w:tc>
          <w:tcPr>
            <w:tcW w:type="dxa" w:w="2878"/>
            <w:tcBorders>
              <w:top w:val="single" w:color="000000" w:sz="4"/>
              <w:left w:val="none" w:color="000000" w:sz="4"/>
              <w:bottom w:val="single" w:color="000000" w:sz="4"/>
              <w:right w:val="single" w:color="000000" w:sz="4"/>
            </w:tcBorders>
            <w:vAlign w:val="top"/>
          </w:tcPr>
          <w:p>
            <w:pPr>
              <w:jc w:val="center"/>
            </w:pPr>
            <w:r>
              <w:rPr>
                <w:b/>
                <w:sz w:val="21"/>
              </w:rPr>
              <w:t>要求</w:t>
            </w:r>
          </w:p>
        </w:tc>
      </w:tr>
      <w:tr>
        <w:tc>
          <w:tcPr>
            <w:tcW w:type="dxa" w:w="12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37"/>
            <w:tcBorders>
              <w:top w:val="none" w:color="000000" w:sz="4"/>
              <w:left w:val="none" w:color="000000" w:sz="4"/>
              <w:bottom w:val="single" w:color="000000" w:sz="4"/>
              <w:right w:val="single" w:color="000000" w:sz="4"/>
            </w:tcBorders>
            <w:vAlign w:val="top"/>
          </w:tcPr>
          <w:p>
            <w:pPr>
              <w:jc w:val="center"/>
            </w:pPr>
            <w:r>
              <w:rPr>
                <w:sz w:val="21"/>
              </w:rPr>
              <w:t>工作车</w:t>
            </w:r>
          </w:p>
        </w:tc>
        <w:tc>
          <w:tcPr>
            <w:tcW w:type="dxa" w:w="2878"/>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r>
      <w:tr>
        <w:tc>
          <w:tcPr>
            <w:tcW w:type="dxa" w:w="12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37"/>
            <w:tcBorders>
              <w:top w:val="none" w:color="000000" w:sz="4"/>
              <w:left w:val="none" w:color="000000" w:sz="4"/>
              <w:bottom w:val="single" w:color="000000" w:sz="4"/>
              <w:right w:val="single" w:color="000000" w:sz="4"/>
            </w:tcBorders>
            <w:vAlign w:val="top"/>
          </w:tcPr>
          <w:p>
            <w:pPr>
              <w:jc w:val="center"/>
            </w:pPr>
            <w:r>
              <w:rPr>
                <w:sz w:val="21"/>
              </w:rPr>
              <w:t>大功率手推车式机动</w:t>
            </w:r>
            <w:r>
              <w:rPr>
                <w:sz w:val="21"/>
              </w:rPr>
              <w:t>/</w:t>
            </w:r>
            <w:r>
              <w:rPr>
                <w:sz w:val="21"/>
              </w:rPr>
              <w:t>电动喷雾机</w:t>
            </w:r>
          </w:p>
        </w:tc>
        <w:tc>
          <w:tcPr>
            <w:tcW w:type="dxa" w:w="2878"/>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r>
      <w:tr>
        <w:tc>
          <w:tcPr>
            <w:tcW w:type="dxa" w:w="129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137"/>
            <w:tcBorders>
              <w:top w:val="none" w:color="000000" w:sz="4"/>
              <w:left w:val="none" w:color="000000" w:sz="4"/>
              <w:bottom w:val="single" w:color="000000" w:sz="4"/>
              <w:right w:val="single" w:color="000000" w:sz="4"/>
            </w:tcBorders>
            <w:vAlign w:val="top"/>
          </w:tcPr>
          <w:p>
            <w:pPr>
              <w:jc w:val="center"/>
            </w:pPr>
            <w:r>
              <w:rPr>
                <w:sz w:val="21"/>
              </w:rPr>
              <w:t>背负式机动</w:t>
            </w:r>
            <w:r>
              <w:rPr>
                <w:sz w:val="21"/>
              </w:rPr>
              <w:t>/</w:t>
            </w:r>
            <w:r>
              <w:rPr>
                <w:sz w:val="21"/>
              </w:rPr>
              <w:t>电动喷雾机</w:t>
            </w:r>
          </w:p>
        </w:tc>
        <w:tc>
          <w:tcPr>
            <w:tcW w:type="dxa" w:w="2878"/>
            <w:tcBorders>
              <w:top w:val="none" w:color="000000" w:sz="4"/>
              <w:left w:val="none" w:color="000000" w:sz="4"/>
              <w:bottom w:val="single" w:color="000000" w:sz="4"/>
              <w:right w:val="single" w:color="000000" w:sz="4"/>
            </w:tcBorders>
            <w:vAlign w:val="top"/>
          </w:tcPr>
          <w:p>
            <w:pPr>
              <w:jc w:val="center"/>
            </w:pPr>
            <w:r>
              <w:rPr>
                <w:sz w:val="21"/>
              </w:rPr>
              <w:t>≥2</w:t>
            </w:r>
            <w:r>
              <w:rPr>
                <w:sz w:val="21"/>
              </w:rPr>
              <w:t>台</w:t>
            </w:r>
          </w:p>
        </w:tc>
      </w:tr>
      <w:tr>
        <w:tc>
          <w:tcPr>
            <w:tcW w:type="dxa" w:w="129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137"/>
            <w:tcBorders>
              <w:top w:val="none" w:color="000000" w:sz="4"/>
              <w:left w:val="none" w:color="000000" w:sz="4"/>
              <w:bottom w:val="single" w:color="000000" w:sz="4"/>
              <w:right w:val="single" w:color="000000" w:sz="4"/>
            </w:tcBorders>
            <w:vAlign w:val="top"/>
          </w:tcPr>
          <w:p>
            <w:pPr>
              <w:jc w:val="center"/>
            </w:pPr>
            <w:r>
              <w:rPr>
                <w:sz w:val="21"/>
              </w:rPr>
              <w:t>白蚁检测仪</w:t>
            </w:r>
          </w:p>
        </w:tc>
        <w:tc>
          <w:tcPr>
            <w:tcW w:type="dxa" w:w="2878"/>
            <w:tcBorders>
              <w:top w:val="none" w:color="000000" w:sz="4"/>
              <w:left w:val="none" w:color="000000" w:sz="4"/>
              <w:bottom w:val="single" w:color="000000" w:sz="4"/>
              <w:right w:val="single" w:color="000000" w:sz="4"/>
            </w:tcBorders>
            <w:vAlign w:val="top"/>
          </w:tcPr>
          <w:p>
            <w:pPr>
              <w:jc w:val="center"/>
            </w:pPr>
            <w:r>
              <w:rPr>
                <w:sz w:val="21"/>
              </w:rPr>
              <w:t>≥2</w:t>
            </w:r>
            <w:r>
              <w:rPr>
                <w:sz w:val="21"/>
              </w:rPr>
              <w:t>台</w:t>
            </w:r>
          </w:p>
        </w:tc>
      </w:tr>
    </w:tbl>
    <w:p>
      <w:pPr>
        <w:ind w:firstLine="420"/>
        <w:jc w:val="both"/>
      </w:pPr>
      <w:r>
        <w:rPr>
          <w:sz w:val="21"/>
        </w:rPr>
        <w:t>3.</w:t>
      </w:r>
      <w:r>
        <w:rPr>
          <w:sz w:val="21"/>
        </w:rPr>
        <w:t>白蚁防治一定要遵循</w:t>
      </w:r>
      <w:r>
        <w:rPr>
          <w:sz w:val="21"/>
        </w:rPr>
        <w:t>“</w:t>
      </w:r>
      <w:r>
        <w:rPr>
          <w:sz w:val="21"/>
        </w:rPr>
        <w:t>预防为主、防治结合、综合治理</w:t>
      </w:r>
      <w:r>
        <w:rPr>
          <w:sz w:val="21"/>
        </w:rPr>
        <w:t>”</w:t>
      </w:r>
      <w:r>
        <w:rPr>
          <w:sz w:val="21"/>
        </w:rPr>
        <w:t>的原则灭治和预防公园内的全部白蚁，降低和控制周围环境白蚁的危害活动密度，确保园内绿化及建筑等免受白蚁危害，做到防治合理、措施可靠、降低成本、保护环境又不破坏绿化和公园景观。</w:t>
      </w:r>
    </w:p>
    <w:p>
      <w:pPr>
        <w:ind w:firstLine="420"/>
        <w:jc w:val="both"/>
      </w:pPr>
      <w:r>
        <w:rPr>
          <w:sz w:val="21"/>
        </w:rPr>
        <w:t>4.</w:t>
      </w:r>
      <w:r>
        <w:rPr>
          <w:sz w:val="21"/>
        </w:rPr>
        <w:t>项目服务期内，乙方必须每周不少于</w:t>
      </w:r>
      <w:r>
        <w:rPr>
          <w:sz w:val="21"/>
        </w:rPr>
        <w:t>1</w:t>
      </w:r>
      <w:r>
        <w:rPr>
          <w:sz w:val="21"/>
        </w:rPr>
        <w:t>次、每月不少于</w:t>
      </w:r>
      <w:r>
        <w:rPr>
          <w:sz w:val="21"/>
        </w:rPr>
        <w:t>4</w:t>
      </w:r>
      <w:r>
        <w:rPr>
          <w:sz w:val="21"/>
        </w:rPr>
        <w:t>次进行全园蚁害巡检及监控诱杀。乙方每月自行合理安排时间进行白蚁防治工作（应提前</w:t>
      </w:r>
      <w:r>
        <w:rPr>
          <w:sz w:val="21"/>
        </w:rPr>
        <w:t>24</w:t>
      </w:r>
      <w:r>
        <w:rPr>
          <w:sz w:val="21"/>
        </w:rPr>
        <w:t>小时告知甲方），如遇特殊情况（白蚁突然爆发、蚁害监测不达标、上级单位检查等），乙方需按甲方要求进行应急消杀防治服务，消杀防治地点、时间由甲方根据实际需要提前</w:t>
      </w:r>
      <w:r>
        <w:rPr>
          <w:sz w:val="21"/>
        </w:rPr>
        <w:t>24</w:t>
      </w:r>
      <w:r>
        <w:rPr>
          <w:sz w:val="21"/>
        </w:rPr>
        <w:t>小时通知乙方，乙方应在接到甲方书面或口头通知后</w:t>
      </w:r>
      <w:r>
        <w:rPr>
          <w:sz w:val="21"/>
        </w:rPr>
        <w:t>24</w:t>
      </w:r>
      <w:r>
        <w:rPr>
          <w:sz w:val="21"/>
        </w:rPr>
        <w:t>小时内安排消杀防治工作，所需费用由乙方承担。具体消杀防治工作可由甲方视实际情况需要作出适当调整。</w:t>
      </w:r>
    </w:p>
    <w:p>
      <w:pPr>
        <w:ind w:firstLine="420"/>
        <w:jc w:val="both"/>
      </w:pPr>
      <w:r>
        <w:rPr>
          <w:sz w:val="21"/>
        </w:rPr>
        <w:t>5.</w:t>
      </w:r>
      <w:r>
        <w:rPr>
          <w:sz w:val="21"/>
        </w:rPr>
        <w:t>乙方应配合甲方现场管理工作，每次巡检防治应联系甲方派人陪同并做好现场记录，按次进行验收签证。乙方进行巡检防治工作未通知甲方派人陪同导致无法验收的，视为乙方未完成巡检防治任务，一切责任由乙方承担。</w:t>
      </w:r>
    </w:p>
    <w:p>
      <w:pPr>
        <w:ind w:firstLine="420"/>
        <w:jc w:val="both"/>
      </w:pPr>
      <w:r>
        <w:rPr>
          <w:sz w:val="21"/>
        </w:rPr>
        <w:t>6.</w:t>
      </w:r>
      <w:r>
        <w:rPr>
          <w:sz w:val="21"/>
        </w:rPr>
        <w:t>甲方在日常巡查抽检中如发现乙方未按要求到现场巡检防治的，每次以书面形式通报。若一个季度内累计通报达</w:t>
      </w:r>
      <w:r>
        <w:rPr>
          <w:sz w:val="21"/>
        </w:rPr>
        <w:t>2</w:t>
      </w:r>
      <w:r>
        <w:rPr>
          <w:sz w:val="21"/>
        </w:rPr>
        <w:t>次的，甲方可扣罚当季白蚁防治服务费的</w:t>
      </w:r>
      <w:r>
        <w:rPr>
          <w:sz w:val="21"/>
        </w:rPr>
        <w:t>10%</w:t>
      </w:r>
      <w:r>
        <w:rPr>
          <w:sz w:val="21"/>
        </w:rPr>
        <w:t>；半年内累计通报达</w:t>
      </w:r>
      <w:r>
        <w:rPr>
          <w:sz w:val="21"/>
        </w:rPr>
        <w:t>4</w:t>
      </w:r>
      <w:r>
        <w:rPr>
          <w:sz w:val="21"/>
        </w:rPr>
        <w:t>次的，甲方给予书面警告，扣罚全年白蚁防治服务费的</w:t>
      </w:r>
      <w:r>
        <w:rPr>
          <w:sz w:val="21"/>
        </w:rPr>
        <w:t>15%</w:t>
      </w:r>
      <w:r>
        <w:rPr>
          <w:sz w:val="21"/>
        </w:rPr>
        <w:t>；一年内累计通报达</w:t>
      </w:r>
      <w:r>
        <w:rPr>
          <w:sz w:val="21"/>
        </w:rPr>
        <w:t>6</w:t>
      </w:r>
      <w:r>
        <w:rPr>
          <w:sz w:val="21"/>
        </w:rPr>
        <w:t>次的，甲方可按合同违约条款终止合同。</w:t>
      </w:r>
    </w:p>
    <w:p>
      <w:pPr>
        <w:ind w:firstLine="420"/>
        <w:jc w:val="both"/>
      </w:pPr>
      <w:r>
        <w:rPr>
          <w:sz w:val="21"/>
        </w:rPr>
        <w:t>7.</w:t>
      </w:r>
      <w:r>
        <w:rPr>
          <w:sz w:val="21"/>
        </w:rPr>
        <w:t>白蚁防治必须使用经国家有关部门批准生产的药物，乙方在白蚁防治施药前应通知甲方到公园现场对灭治白蚁的药物进行检查，并做好登记。</w:t>
      </w:r>
    </w:p>
    <w:p>
      <w:pPr>
        <w:ind w:firstLine="420"/>
        <w:jc w:val="both"/>
      </w:pPr>
      <w:r>
        <w:rPr>
          <w:sz w:val="21"/>
        </w:rPr>
        <w:t>8.</w:t>
      </w:r>
      <w:r>
        <w:rPr>
          <w:sz w:val="21"/>
        </w:rPr>
        <w:t>乙方必须按药物说明规定的比例配制防治药物，不达要求的，甲方视为无效药品不纳入月度防治次数。</w:t>
      </w:r>
    </w:p>
    <w:p>
      <w:pPr>
        <w:ind w:firstLine="420"/>
        <w:jc w:val="both"/>
      </w:pPr>
      <w:r>
        <w:rPr>
          <w:sz w:val="21"/>
        </w:rPr>
        <w:t>9.</w:t>
      </w:r>
      <w:r>
        <w:rPr>
          <w:sz w:val="21"/>
        </w:rPr>
        <w:t>在公园日常管理工作中，甲方巡查时发现蚁害严重、明显的，可以书面或口头通知乙方项目负责人，项目负责人在接到甲方书面或口头通知后，应在</w:t>
      </w:r>
      <w:r>
        <w:rPr>
          <w:sz w:val="21"/>
        </w:rPr>
        <w:t>24</w:t>
      </w:r>
      <w:r>
        <w:rPr>
          <w:sz w:val="21"/>
        </w:rPr>
        <w:t>小时内安排人员进行消杀防治。</w:t>
      </w:r>
    </w:p>
    <w:p>
      <w:pPr>
        <w:ind w:firstLine="420"/>
        <w:jc w:val="both"/>
      </w:pPr>
      <w:r>
        <w:rPr>
          <w:sz w:val="21"/>
        </w:rPr>
        <w:t>10.</w:t>
      </w:r>
      <w:r>
        <w:rPr>
          <w:sz w:val="21"/>
        </w:rPr>
        <w:t>乙方在防治过程中必须严格执行技术服务方案、安全操作规程，做好环境保护，不乱洒、乱喷药剂，做好巡检防治记录并归档。</w:t>
      </w:r>
    </w:p>
    <w:p>
      <w:pPr>
        <w:ind w:firstLine="420"/>
        <w:jc w:val="both"/>
      </w:pPr>
      <w:r>
        <w:rPr>
          <w:sz w:val="21"/>
        </w:rPr>
        <w:t>11.</w:t>
      </w:r>
      <w:r>
        <w:rPr>
          <w:sz w:val="21"/>
        </w:rPr>
        <w:t>乙方未能达到技术服务方案所约定的服务目标，甲方有权要求乙方限期整改，逾期未整改的，甲方可按合同违约条款终止合同。若在防治有效期限内出现严重的、明显的蚁害，甲方要求限期整改而逾期未整改或整改不见效果，导致公园苗木死亡或经济损失的，乙方应按规格、品种自行更换同规格、同品种的苗木或由甲方根据损失情况按实扣减相应服务费。</w:t>
      </w:r>
    </w:p>
    <w:p>
      <w:pPr>
        <w:ind w:firstLine="420"/>
        <w:jc w:val="both"/>
      </w:pPr>
      <w:r>
        <w:rPr>
          <w:sz w:val="21"/>
        </w:rPr>
        <w:t>12.</w:t>
      </w:r>
      <w:r>
        <w:rPr>
          <w:sz w:val="21"/>
        </w:rPr>
        <w:t>定期埋设白蚁诱饵剂。在白蚁分飞期或活动期于草皮下或树木根部埋放诱杀包，使白蚁经过接触或蛀食后慢性中毒死亡，根治白蚁的繁殖和蔓延。</w:t>
      </w:r>
    </w:p>
    <w:p>
      <w:pPr>
        <w:ind w:firstLine="420"/>
        <w:jc w:val="both"/>
      </w:pPr>
      <w:r>
        <w:rPr>
          <w:sz w:val="21"/>
        </w:rPr>
        <w:t>13.</w:t>
      </w:r>
      <w:r>
        <w:rPr>
          <w:sz w:val="21"/>
        </w:rPr>
        <w:t>加强对绿化、建筑物等的日常监测和管理。在白蚁出飞季节要定期对易受白蚁侵害的树木、草地、建筑物等进行检查和监测，发现蚁害和白蚁活动的迹象应及时处理并登记好白蚁危害的具体位置、白蚁的种类等，有效地控制蚁害的蔓延与扩散。</w:t>
      </w:r>
    </w:p>
    <w:p>
      <w:pPr>
        <w:ind w:firstLine="420"/>
        <w:jc w:val="both"/>
      </w:pPr>
      <w:r>
        <w:rPr>
          <w:sz w:val="21"/>
        </w:rPr>
        <w:t>14.</w:t>
      </w:r>
      <w:r>
        <w:rPr>
          <w:sz w:val="21"/>
        </w:rPr>
        <w:t>移植前仔细检查绿化。在移植树木前，一定要对树木进行仔细检查，特别是对从白蚁危害高发地区移植过来的树木，确保移植过来的树木在种植前自身不带有白蚁，一旦发现存在蚁害，要进行专门的杀灭处理后才能栽种。</w:t>
      </w:r>
    </w:p>
    <w:p>
      <w:pPr>
        <w:ind w:firstLine="420"/>
        <w:jc w:val="both"/>
      </w:pPr>
      <w:r>
        <w:rPr>
          <w:sz w:val="21"/>
        </w:rPr>
        <w:t>15.</w:t>
      </w:r>
      <w:r>
        <w:rPr>
          <w:sz w:val="21"/>
        </w:rPr>
        <w:t>绿化种植前对土壤进行毒化处理。在种植树木前，用专门的白蚁预防药剂对要种植树木的土壤进行喷洒处理，以形成一道防蚁的药物屏障，使白蚁不能危害将要栽种的树木，杀灭原有土壤中的白蚁。</w:t>
      </w:r>
    </w:p>
    <w:p>
      <w:pPr>
        <w:ind w:firstLine="420"/>
        <w:jc w:val="both"/>
      </w:pPr>
      <w:r>
        <w:rPr>
          <w:sz w:val="21"/>
        </w:rPr>
        <w:t>16.</w:t>
      </w:r>
      <w:r>
        <w:rPr>
          <w:sz w:val="21"/>
        </w:rPr>
        <w:t>乙方须及时清扫、处理白蚁防治工作中产生的废弃物，废弃包装物严禁作为他用，不得随意丢放，须妥善处理，防止二次污染，因处理不善造成中毒事件所产生的责任全部由乙方承担。</w:t>
      </w:r>
    </w:p>
    <w:p>
      <w:pPr>
        <w:ind w:firstLine="420"/>
        <w:jc w:val="both"/>
      </w:pPr>
      <w:r>
        <w:rPr>
          <w:sz w:val="21"/>
        </w:rPr>
        <w:t>17.</w:t>
      </w:r>
      <w:r>
        <w:rPr>
          <w:sz w:val="21"/>
        </w:rPr>
        <w:t>乙方须组建应急队伍，制定白蚁应急消杀方案。因特殊需要或发生公共突发事件，需要进行额外应急消杀时，乙方必须积极配合甲方落实应急消杀工作，费用由乙方承担，否则甲方可按合同违约条款终止合同。</w:t>
      </w:r>
    </w:p>
    <w:p>
      <w:pPr>
        <w:ind w:firstLine="420"/>
        <w:jc w:val="both"/>
      </w:pPr>
      <w:r>
        <w:rPr>
          <w:sz w:val="21"/>
        </w:rPr>
        <w:t>18.</w:t>
      </w:r>
      <w:r>
        <w:rPr>
          <w:sz w:val="21"/>
        </w:rPr>
        <w:t>在省、市、区白蚁危害监测中，如连续</w:t>
      </w:r>
      <w:r>
        <w:rPr>
          <w:sz w:val="21"/>
        </w:rPr>
        <w:t>2</w:t>
      </w:r>
      <w:r>
        <w:rPr>
          <w:sz w:val="21"/>
        </w:rPr>
        <w:t>次不合格，甲方可按合同违约条款终止合同；造成甲方工作被通报的，甲方有权向乙方下发整改通知书，要求乙方增加消杀次数直至监测合格，并扣减当月服务费的</w:t>
      </w:r>
      <w:r>
        <w:rPr>
          <w:sz w:val="21"/>
        </w:rPr>
        <w:t>8%</w:t>
      </w:r>
      <w:r>
        <w:rPr>
          <w:sz w:val="21"/>
        </w:rPr>
        <w:t>，增加消杀次数的费用由乙方承担。</w:t>
      </w:r>
    </w:p>
    <w:p>
      <w:pPr>
        <w:ind w:firstLine="422"/>
        <w:jc w:val="both"/>
      </w:pPr>
      <w:r>
        <w:rPr>
          <w:b/>
          <w:sz w:val="21"/>
        </w:rPr>
        <w:t>四、验收考核要求</w:t>
      </w:r>
    </w:p>
    <w:p>
      <w:pPr>
        <w:ind w:firstLine="420"/>
        <w:jc w:val="both"/>
      </w:pPr>
      <w:r>
        <w:rPr>
          <w:sz w:val="21"/>
        </w:rPr>
        <w:t>为保证公园管理服务的质量，根据《广州市公园条例》、《广州市公园管理规范》、《园林绿地养护管理技术规范》（</w:t>
      </w:r>
      <w:r>
        <w:rPr>
          <w:sz w:val="21"/>
        </w:rPr>
        <w:t>DB4401/T 6-2018</w:t>
      </w:r>
      <w:r>
        <w:rPr>
          <w:sz w:val="21"/>
        </w:rPr>
        <w:t>）、《园林绿化植物材料》（</w:t>
      </w:r>
      <w:r>
        <w:rPr>
          <w:sz w:val="21"/>
        </w:rPr>
        <w:t>DB4401/T 37-2019</w:t>
      </w:r>
      <w:r>
        <w:rPr>
          <w:sz w:val="21"/>
        </w:rPr>
        <w:t>）、《园林种植土》（</w:t>
      </w:r>
      <w:r>
        <w:rPr>
          <w:sz w:val="21"/>
        </w:rPr>
        <w:t>DB4401/T 36-2019</w:t>
      </w:r>
      <w:r>
        <w:rPr>
          <w:sz w:val="21"/>
        </w:rPr>
        <w:t>）、《黄埔区绿化养护技术指引》（</w:t>
      </w:r>
      <w:r>
        <w:rPr>
          <w:sz w:val="21"/>
        </w:rPr>
        <w:t>1.0</w:t>
      </w:r>
      <w:r>
        <w:rPr>
          <w:sz w:val="21"/>
        </w:rPr>
        <w:t>版）、《黄埔区绿化养护作业指导书》、《环境卫生作业质量管理规范》（</w:t>
      </w:r>
      <w:r>
        <w:rPr>
          <w:sz w:val="21"/>
        </w:rPr>
        <w:t>DB4401/T 178-2022</w:t>
      </w:r>
      <w:r>
        <w:rPr>
          <w:sz w:val="21"/>
        </w:rPr>
        <w:t>）、《公共厕所建设与管理规范》（</w:t>
      </w:r>
      <w:r>
        <w:rPr>
          <w:sz w:val="21"/>
        </w:rPr>
        <w:t>DB4401/T 15-2018</w:t>
      </w:r>
      <w:r>
        <w:rPr>
          <w:sz w:val="21"/>
        </w:rPr>
        <w:t>）、《广州市黄埔区公共厕所保洁作业规范和保洁质量标准指引（试行）》、《广州有害生物防制服务行业管理办法》、《建筑物白蚁防治技术规范》（</w:t>
      </w:r>
      <w:r>
        <w:rPr>
          <w:sz w:val="21"/>
        </w:rPr>
        <w:t>DB4401/T 91-2020</w:t>
      </w:r>
      <w:r>
        <w:rPr>
          <w:sz w:val="21"/>
        </w:rPr>
        <w:t>）等有关规定，结合广州市黄埔区实际情况，按照《广州开发区绿化和公园管理中心（广州市黄埔区绿化和公园管理中心）市政公园服务项目管理办法》执行。</w:t>
      </w:r>
    </w:p>
    <w:p>
      <w:pPr>
        <w:ind w:firstLine="420"/>
        <w:jc w:val="both"/>
      </w:pPr>
      <w:r>
        <w:rPr>
          <w:sz w:val="21"/>
        </w:rPr>
        <w:t>（一）检评主体：甲方负责对公园管理服务质量实施检查评比和监督管理。</w:t>
      </w:r>
    </w:p>
    <w:p>
      <w:pPr>
        <w:ind w:firstLine="420"/>
        <w:jc w:val="both"/>
      </w:pPr>
      <w:r>
        <w:rPr>
          <w:sz w:val="21"/>
        </w:rPr>
        <w:t>（二）日常巡查：</w:t>
      </w:r>
    </w:p>
    <w:p>
      <w:pPr>
        <w:ind w:firstLine="420"/>
        <w:jc w:val="both"/>
      </w:pPr>
      <w:r>
        <w:rPr>
          <w:sz w:val="21"/>
        </w:rPr>
        <w:t>1.</w:t>
      </w:r>
      <w:r>
        <w:rPr>
          <w:sz w:val="21"/>
        </w:rPr>
        <w:t>要求乙方配备专门巡查人员、专用交通工具报甲方备案后，自行安排日常巡查，发现问题按作业要求进行处理。</w:t>
      </w:r>
    </w:p>
    <w:p>
      <w:pPr>
        <w:ind w:firstLine="420"/>
        <w:jc w:val="both"/>
      </w:pPr>
      <w:r>
        <w:rPr>
          <w:sz w:val="21"/>
        </w:rPr>
        <w:t>2.</w:t>
      </w:r>
      <w:r>
        <w:rPr>
          <w:sz w:val="21"/>
        </w:rPr>
        <w:t>由甲方进行日常巡查，对照《园林绿地养护管理技术规范》（</w:t>
      </w:r>
      <w:r>
        <w:rPr>
          <w:sz w:val="21"/>
        </w:rPr>
        <w:t>DB4401/T 6-2018</w:t>
      </w:r>
      <w:r>
        <w:rPr>
          <w:sz w:val="21"/>
        </w:rPr>
        <w:t>）、《黄埔区绿化养护技术指引》（</w:t>
      </w:r>
      <w:r>
        <w:rPr>
          <w:sz w:val="21"/>
        </w:rPr>
        <w:t>1.0</w:t>
      </w:r>
      <w:r>
        <w:rPr>
          <w:sz w:val="21"/>
        </w:rPr>
        <w:t>版）、《黄埔区绿化养护作业指导书》、《环境卫生作业质量管理规范》（</w:t>
      </w:r>
      <w:r>
        <w:rPr>
          <w:sz w:val="21"/>
        </w:rPr>
        <w:t>DB4401/T 178-2022</w:t>
      </w:r>
      <w:r>
        <w:rPr>
          <w:sz w:val="21"/>
        </w:rPr>
        <w:t>）、《广州有害生物防制服务行业管理办法》、《建筑物白蚁防治技术规范》（</w:t>
      </w:r>
      <w:r>
        <w:rPr>
          <w:sz w:val="21"/>
        </w:rPr>
        <w:t>DB4401/T 91-2020</w:t>
      </w:r>
      <w:r>
        <w:rPr>
          <w:sz w:val="21"/>
        </w:rPr>
        <w:t>）等相关文件标准及《广州开发区绿化和公园管理中心（广州市黄埔区绿化和公园管理中心）检评考核表》的内容进行巡查、考评，发现问题记录在案，并通知乙方限期整改，作为月度考核依据和支付服务费的依据之一。</w:t>
      </w:r>
    </w:p>
    <w:p>
      <w:pPr>
        <w:ind w:firstLine="420"/>
        <w:jc w:val="both"/>
      </w:pPr>
      <w:r>
        <w:rPr>
          <w:sz w:val="21"/>
        </w:rPr>
        <w:t>3.</w:t>
      </w:r>
      <w:r>
        <w:rPr>
          <w:sz w:val="21"/>
        </w:rPr>
        <w:t>甲方有权按省、市、区行政主管部门颁布的最新规范、办法、条例和规定开展项目管理，根据公园管理实际情况及相关要求优化调整《广州开发区绿化和公园管理中心（广州市黄埔区绿化和公园管理中心）检评考核表》的相关内容和分值，经书面印发后实施。</w:t>
      </w:r>
    </w:p>
    <w:p>
      <w:pPr>
        <w:ind w:firstLine="420"/>
        <w:jc w:val="both"/>
      </w:pPr>
      <w:r>
        <w:rPr>
          <w:sz w:val="21"/>
        </w:rPr>
        <w:t>（三）定期或不定期考核：</w:t>
      </w:r>
    </w:p>
    <w:p>
      <w:pPr>
        <w:ind w:firstLine="420"/>
        <w:jc w:val="both"/>
      </w:pPr>
      <w:r>
        <w:rPr>
          <w:sz w:val="21"/>
        </w:rPr>
        <w:t>1.</w:t>
      </w:r>
      <w:r>
        <w:rPr>
          <w:sz w:val="21"/>
        </w:rPr>
        <w:t>每月由甲方组织乙方、履约验收单位对公园管理服务质量进行全面量化评分考核，日期不固定。评分考核结果和日常巡查记录作为月度考核依据和支付服务费的依据之一。</w:t>
      </w:r>
    </w:p>
    <w:p>
      <w:pPr>
        <w:ind w:firstLine="420"/>
        <w:jc w:val="both"/>
      </w:pPr>
      <w:r>
        <w:rPr>
          <w:sz w:val="21"/>
        </w:rPr>
        <w:t>2.</w:t>
      </w:r>
      <w:r>
        <w:rPr>
          <w:sz w:val="21"/>
        </w:rPr>
        <w:t>乙方每年度末须向甲方提供年度服务报告，并由甲方组织乙方、履约验收单位对公园管理服务情况进行整体考核验收。</w:t>
      </w:r>
    </w:p>
    <w:p>
      <w:pPr>
        <w:ind w:firstLine="420"/>
        <w:jc w:val="both"/>
      </w:pPr>
      <w:r>
        <w:rPr>
          <w:sz w:val="21"/>
        </w:rPr>
        <w:t>（四）扣分标准：</w:t>
      </w:r>
    </w:p>
    <w:p>
      <w:pPr>
        <w:ind w:firstLine="420"/>
        <w:jc w:val="both"/>
      </w:pPr>
      <w:r>
        <w:rPr>
          <w:sz w:val="21"/>
        </w:rPr>
        <w:t>1.</w:t>
      </w:r>
      <w:r>
        <w:rPr>
          <w:sz w:val="21"/>
        </w:rPr>
        <w:t>每扣一分扣减当月服务费</w:t>
      </w:r>
      <w:r>
        <w:rPr>
          <w:sz w:val="21"/>
        </w:rPr>
        <w:t>100</w:t>
      </w:r>
      <w:r>
        <w:rPr>
          <w:sz w:val="21"/>
        </w:rPr>
        <w:t>元。</w:t>
      </w:r>
    </w:p>
    <w:p>
      <w:pPr>
        <w:ind w:firstLine="420"/>
        <w:jc w:val="both"/>
      </w:pPr>
      <w:r>
        <w:rPr>
          <w:sz w:val="21"/>
        </w:rPr>
        <w:t>2.</w:t>
      </w:r>
      <w:r>
        <w:rPr>
          <w:sz w:val="21"/>
        </w:rPr>
        <w:t>对于缺株、死株、倒伏、护树桩残缺或保洁工作不到位、四害孳生、蚁害等严重问题，或甲方领导、甲方上级部门工作人员在检查中发现问题的，或乙方现场拒绝签字确认的，根据检查情况双倍扣分；甲方上级部门领导在检查中发现问题的，根据检查情况三倍扣分。</w:t>
      </w:r>
    </w:p>
    <w:p>
      <w:pPr>
        <w:ind w:firstLine="420"/>
        <w:jc w:val="both"/>
      </w:pPr>
      <w:r>
        <w:rPr>
          <w:sz w:val="21"/>
        </w:rPr>
        <w:t>3.</w:t>
      </w:r>
      <w:r>
        <w:rPr>
          <w:sz w:val="21"/>
        </w:rPr>
        <w:t>省、市、区有关部门在检查中发现问题并进行通报的，或区领导在检查中发现问题的，根据检查情况五倍扣分。</w:t>
      </w:r>
    </w:p>
    <w:p>
      <w:pPr>
        <w:ind w:firstLine="420"/>
        <w:jc w:val="both"/>
      </w:pPr>
      <w:r>
        <w:rPr>
          <w:sz w:val="21"/>
        </w:rPr>
        <w:t>4.</w:t>
      </w:r>
      <w:r>
        <w:rPr>
          <w:sz w:val="21"/>
        </w:rPr>
        <w:t>检查发现问题后，即按照《广州开发区绿化和公园管理中心（广州市黄埔区绿化和公园管理中心）市政公园服务项目管理办法》扣分，同时要求乙方限期整改。具体执行标准为《广州开发区绿化和公园管理中心（广州市黄埔区绿化和公园管理中心）检评考核表》。</w:t>
      </w:r>
    </w:p>
    <w:p>
      <w:pPr>
        <w:ind w:firstLine="420"/>
        <w:jc w:val="both"/>
      </w:pPr>
      <w:r>
        <w:rPr>
          <w:sz w:val="21"/>
        </w:rPr>
        <w:t>（五）奖罚措施：</w:t>
      </w:r>
    </w:p>
    <w:p>
      <w:pPr>
        <w:ind w:firstLine="420"/>
        <w:jc w:val="both"/>
      </w:pPr>
      <w:r>
        <w:rPr>
          <w:sz w:val="21"/>
        </w:rPr>
        <w:t>1.</w:t>
      </w:r>
      <w:r>
        <w:rPr>
          <w:sz w:val="21"/>
        </w:rPr>
        <w:t>扣减服务费。即按照《广州开发区绿化和公园管理中心（广州市黄埔区绿化和公园管理中心）检评考核表》，对乙方的管理服务质量进行检评，根据检查扣分情况按考核表标准扣减当月服务费，并要求乙方限期整改。</w:t>
      </w:r>
    </w:p>
    <w:p>
      <w:pPr>
        <w:ind w:firstLine="420"/>
        <w:jc w:val="both"/>
      </w:pPr>
      <w:r>
        <w:rPr>
          <w:sz w:val="21"/>
        </w:rPr>
        <w:t>2.</w:t>
      </w:r>
      <w:r>
        <w:rPr>
          <w:sz w:val="21"/>
        </w:rPr>
        <w:t>甲方向乙方发出整改通知书后，乙方不按要求在限期内整改的，每逾期一天，由甲方扣减当月服务费的</w:t>
      </w:r>
      <w:r>
        <w:rPr>
          <w:sz w:val="21"/>
        </w:rPr>
        <w:t>3‰</w:t>
      </w:r>
      <w:r>
        <w:rPr>
          <w:sz w:val="21"/>
        </w:rPr>
        <w:t>作为违约金。同时，甲方有权另行委托其他服务单位实施整改，以保证按时按质按量完成整改，所需费用从乙方服务费中全额扣除。</w:t>
      </w:r>
    </w:p>
    <w:p>
      <w:pPr>
        <w:ind w:firstLine="420"/>
        <w:jc w:val="both"/>
      </w:pPr>
      <w:r>
        <w:rPr>
          <w:sz w:val="21"/>
        </w:rPr>
        <w:t>3.</w:t>
      </w:r>
      <w:r>
        <w:rPr>
          <w:sz w:val="21"/>
        </w:rPr>
        <w:t>因乙方服务不文明、管理不到位等受到上级相关管理部门通报、处罚，或被新闻媒体曝光的，每次扣减服务费</w:t>
      </w:r>
      <w:r>
        <w:rPr>
          <w:sz w:val="21"/>
        </w:rPr>
        <w:t>10000</w:t>
      </w:r>
      <w:r>
        <w:rPr>
          <w:sz w:val="21"/>
        </w:rPr>
        <w:t>元；因乙方管理不力造成人身伤害、财产损失等事件的，每次扣减服务费</w:t>
      </w:r>
      <w:r>
        <w:rPr>
          <w:sz w:val="21"/>
        </w:rPr>
        <w:t>10000</w:t>
      </w:r>
      <w:r>
        <w:rPr>
          <w:sz w:val="21"/>
        </w:rPr>
        <w:t>元；因乙方处理投诉不当，导致出现投诉处理结果不满意情况的，每次扣减服务费</w:t>
      </w:r>
      <w:r>
        <w:rPr>
          <w:sz w:val="21"/>
        </w:rPr>
        <w:t>5000</w:t>
      </w:r>
      <w:r>
        <w:rPr>
          <w:sz w:val="21"/>
        </w:rPr>
        <w:t>元；以上情形若造成不良社会影响，甲方将对乙方进行通报批评，并呈报上级主管部门上报市主管部门予以诚信扣分。</w:t>
      </w:r>
    </w:p>
    <w:p>
      <w:pPr>
        <w:ind w:firstLine="420"/>
        <w:jc w:val="both"/>
      </w:pPr>
      <w:r>
        <w:rPr>
          <w:sz w:val="21"/>
        </w:rPr>
        <w:t>4.</w:t>
      </w:r>
      <w:r>
        <w:rPr>
          <w:sz w:val="21"/>
        </w:rPr>
        <w:t>在岗人数不足，每天每缺</w:t>
      </w:r>
      <w:r>
        <w:rPr>
          <w:sz w:val="21"/>
        </w:rPr>
        <w:t>1</w:t>
      </w:r>
      <w:r>
        <w:rPr>
          <w:sz w:val="21"/>
        </w:rPr>
        <w:t>人次扣罚</w:t>
      </w:r>
      <w:r>
        <w:rPr>
          <w:sz w:val="21"/>
        </w:rPr>
        <w:t>200</w:t>
      </w:r>
      <w:r>
        <w:rPr>
          <w:sz w:val="21"/>
        </w:rPr>
        <w:t>元（事先请假的除外；确需请假者，须提前经乙方同意，再向甲方请示，得到批准并办好手续后方可请假）。</w:t>
      </w:r>
    </w:p>
    <w:p>
      <w:pPr>
        <w:ind w:firstLine="420"/>
        <w:jc w:val="both"/>
      </w:pPr>
      <w:r>
        <w:rPr>
          <w:sz w:val="21"/>
        </w:rPr>
        <w:t>5.</w:t>
      </w:r>
      <w:r>
        <w:rPr>
          <w:sz w:val="21"/>
        </w:rPr>
        <w:t>甲方发现乙方在岗人员自由散漫，不按规定上、下班，上班时串岗、吸烟、闲聊、睡觉、做与工作无关的事情，或在公园内动用明火，或出现滋事、与游客发生争吵甚至打架等不良行为，将给予警告，警告无效的，每人每次罚款</w:t>
      </w:r>
      <w:r>
        <w:rPr>
          <w:sz w:val="21"/>
        </w:rPr>
        <w:t>100</w:t>
      </w:r>
      <w:r>
        <w:rPr>
          <w:sz w:val="21"/>
        </w:rPr>
        <w:t>元。如多次出现以上情况，乙方应更换工作人员。</w:t>
      </w:r>
    </w:p>
    <w:p>
      <w:pPr>
        <w:ind w:firstLine="420"/>
        <w:jc w:val="both"/>
      </w:pPr>
      <w:r>
        <w:rPr>
          <w:sz w:val="21"/>
        </w:rPr>
        <w:t>6.</w:t>
      </w:r>
      <w:r>
        <w:rPr>
          <w:sz w:val="21"/>
        </w:rPr>
        <w:t>乙方工作人员故意浪费水电和破坏设施的，除补偿水电费和设施费外，每人每次罚款</w:t>
      </w:r>
      <w:r>
        <w:rPr>
          <w:sz w:val="21"/>
        </w:rPr>
        <w:t>100</w:t>
      </w:r>
      <w:r>
        <w:rPr>
          <w:sz w:val="21"/>
        </w:rPr>
        <w:t>元。</w:t>
      </w:r>
    </w:p>
    <w:p>
      <w:pPr>
        <w:ind w:firstLine="420"/>
        <w:jc w:val="both"/>
      </w:pPr>
      <w:r>
        <w:rPr>
          <w:sz w:val="21"/>
        </w:rPr>
        <w:t>7.</w:t>
      </w:r>
      <w:r>
        <w:rPr>
          <w:sz w:val="21"/>
        </w:rPr>
        <w:t>甲方每月召开一次公园例会，乙方副总以上领导、项目负责人、驻场主管参会。无故缺席的，将纳入下月对乙方的检评考核中扣分（副总以上领导缺席的扣</w:t>
      </w:r>
      <w:r>
        <w:rPr>
          <w:sz w:val="21"/>
        </w:rPr>
        <w:t>50</w:t>
      </w:r>
      <w:r>
        <w:rPr>
          <w:sz w:val="21"/>
        </w:rPr>
        <w:t>分、项目负责人缺席的扣</w:t>
      </w:r>
      <w:r>
        <w:rPr>
          <w:sz w:val="21"/>
        </w:rPr>
        <w:t>30</w:t>
      </w:r>
      <w:r>
        <w:rPr>
          <w:sz w:val="21"/>
        </w:rPr>
        <w:t>分、驻场主管缺席的扣</w:t>
      </w:r>
      <w:r>
        <w:rPr>
          <w:sz w:val="21"/>
        </w:rPr>
        <w:t>20</w:t>
      </w:r>
      <w:r>
        <w:rPr>
          <w:sz w:val="21"/>
        </w:rPr>
        <w:t>分，迟到的扣</w:t>
      </w:r>
      <w:r>
        <w:rPr>
          <w:sz w:val="21"/>
        </w:rPr>
        <w:t>5</w:t>
      </w:r>
      <w:r>
        <w:rPr>
          <w:sz w:val="21"/>
        </w:rPr>
        <w:t>分</w:t>
      </w:r>
      <w:r>
        <w:rPr>
          <w:sz w:val="21"/>
        </w:rPr>
        <w:t>/</w:t>
      </w:r>
      <w:r>
        <w:rPr>
          <w:sz w:val="21"/>
        </w:rPr>
        <w:t>人次），并进行通报处理。</w:t>
      </w:r>
    </w:p>
    <w:p>
      <w:pPr>
        <w:ind w:firstLine="420"/>
        <w:jc w:val="both"/>
      </w:pPr>
      <w:r>
        <w:rPr>
          <w:sz w:val="21"/>
        </w:rPr>
        <w:t>8.</w:t>
      </w:r>
      <w:r>
        <w:rPr>
          <w:sz w:val="21"/>
        </w:rPr>
        <w:t>甲方根据公园每月的检评考核分值进行服务质量排名，其中连续两个月排名最后的三个公园须约见项目服务单位法定代表人及项目负责人，并要求对当月管理服务中存在的问题和不足进行剖析，报告整改计划和具体措施，提出下月服务质量考评排名目标等；如法定代表人无故不参加约谈或以各种理由延迟见面的，当月再扣</w:t>
      </w:r>
      <w:r>
        <w:rPr>
          <w:sz w:val="21"/>
        </w:rPr>
        <w:t>300</w:t>
      </w:r>
      <w:r>
        <w:rPr>
          <w:sz w:val="21"/>
        </w:rPr>
        <w:t>分，项目负责人无故不参加约谈或以各种理由延迟见面的，当月再扣</w:t>
      </w:r>
      <w:r>
        <w:rPr>
          <w:sz w:val="21"/>
        </w:rPr>
        <w:t>100</w:t>
      </w:r>
      <w:r>
        <w:rPr>
          <w:sz w:val="21"/>
        </w:rPr>
        <w:t>分。</w:t>
      </w:r>
    </w:p>
    <w:p>
      <w:pPr>
        <w:ind w:firstLine="420"/>
        <w:jc w:val="both"/>
      </w:pPr>
      <w:r>
        <w:rPr>
          <w:sz w:val="21"/>
        </w:rPr>
        <w:t>9.</w:t>
      </w:r>
      <w:r>
        <w:rPr>
          <w:sz w:val="21"/>
        </w:rPr>
        <w:t>乙方月考核扣分在</w:t>
      </w:r>
      <w:r>
        <w:rPr>
          <w:sz w:val="21"/>
        </w:rPr>
        <w:t>300</w:t>
      </w:r>
      <w:r>
        <w:rPr>
          <w:sz w:val="21"/>
        </w:rPr>
        <w:t>分以上的，该月服务质量综合考核结果为不合格。连续三个月考核结果不合格或一年内累计不合格次数在</w:t>
      </w:r>
      <w:r>
        <w:rPr>
          <w:sz w:val="21"/>
        </w:rPr>
        <w:t>5</w:t>
      </w:r>
      <w:r>
        <w:rPr>
          <w:sz w:val="21"/>
        </w:rPr>
        <w:t>次及以上的，甲方可按合同违约条款终止合同，并报监管部门处理，造成的一切损失由乙方自负，甲方一概不负任何责任。乙方负责的工作由甲方另行采购。</w:t>
      </w:r>
    </w:p>
    <w:p>
      <w:pPr>
        <w:ind w:firstLine="420"/>
        <w:jc w:val="both"/>
      </w:pPr>
      <w:r>
        <w:rPr>
          <w:sz w:val="21"/>
        </w:rPr>
        <w:t>10.</w:t>
      </w:r>
      <w:r>
        <w:rPr>
          <w:sz w:val="21"/>
        </w:rPr>
        <w:t>公园管理服务奖励措施参照《广州开发区绿化和公园管理中心（广州市黄埔区绿化和公园管理中心）检评考核表》执行，其他专项奖励以甲方通知为准。</w:t>
      </w:r>
    </w:p>
    <w:p>
      <w:pPr>
        <w:ind w:firstLine="422"/>
        <w:jc w:val="both"/>
      </w:pPr>
      <w:r>
        <w:rPr>
          <w:b/>
          <w:sz w:val="21"/>
        </w:rPr>
        <w:t>五、付款结算方式</w:t>
      </w:r>
    </w:p>
    <w:p>
      <w:pPr>
        <w:jc w:val="both"/>
      </w:pPr>
      <w:r>
        <w:rPr>
          <w:sz w:val="21"/>
        </w:rPr>
        <w:t>本项目以银行转账方式支付。签订合同且乙方提交履约保函后，甲方实施分期支付，具体分期付款方式：</w:t>
      </w:r>
    </w:p>
    <w:p>
      <w:pPr>
        <w:ind w:firstLine="420"/>
        <w:jc w:val="both"/>
      </w:pPr>
      <w:r>
        <w:rPr>
          <w:sz w:val="21"/>
        </w:rPr>
        <w:t>（一）预付款：在合同签订生效以及具备实施条件后，甲方按照本合同金额的</w:t>
      </w:r>
      <w:r>
        <w:rPr>
          <w:sz w:val="21"/>
        </w:rPr>
        <w:t>30</w:t>
      </w:r>
      <w:r>
        <w:rPr>
          <w:sz w:val="21"/>
        </w:rPr>
        <w:t>％支付预付款，预付款从进度款中一次性全额扣回。</w:t>
      </w:r>
    </w:p>
    <w:p>
      <w:pPr>
        <w:ind w:firstLine="420"/>
        <w:jc w:val="both"/>
      </w:pPr>
      <w:r>
        <w:rPr>
          <w:sz w:val="21"/>
        </w:rPr>
        <w:t>（二）进度款：</w:t>
      </w:r>
    </w:p>
    <w:p>
      <w:pPr>
        <w:ind w:firstLine="420"/>
        <w:jc w:val="both"/>
      </w:pPr>
      <w:r>
        <w:rPr>
          <w:sz w:val="21"/>
        </w:rPr>
        <w:t>1.</w:t>
      </w:r>
      <w:r>
        <w:rPr>
          <w:sz w:val="21"/>
        </w:rPr>
        <w:t>乙方在每季度第一个月前</w:t>
      </w:r>
      <w:r>
        <w:rPr>
          <w:sz w:val="21"/>
        </w:rPr>
        <w:t>10</w:t>
      </w:r>
      <w:r>
        <w:rPr>
          <w:sz w:val="21"/>
        </w:rPr>
        <w:t>日，凭现场考勤表（经甲方代表审核确认）及每季度的工作总结等资料向甲方申请支付上季度服务费的</w:t>
      </w:r>
      <w:r>
        <w:rPr>
          <w:sz w:val="21"/>
        </w:rPr>
        <w:t>90%</w:t>
      </w:r>
      <w:r>
        <w:rPr>
          <w:sz w:val="21"/>
        </w:rPr>
        <w:t>，余下的</w:t>
      </w:r>
      <w:r>
        <w:rPr>
          <w:sz w:val="21"/>
        </w:rPr>
        <w:t>10%</w:t>
      </w:r>
      <w:r>
        <w:rPr>
          <w:sz w:val="21"/>
        </w:rPr>
        <w:t>费用在项目年度服务期满，经甲方现场验收通过后</w:t>
      </w:r>
      <w:r>
        <w:rPr>
          <w:sz w:val="21"/>
        </w:rPr>
        <w:t>15</w:t>
      </w:r>
      <w:r>
        <w:rPr>
          <w:sz w:val="21"/>
        </w:rPr>
        <w:t>日内一次性无息付清。如乙方提供的服务不足一个月时按日计算服务费（日服务费</w:t>
      </w:r>
      <w:r>
        <w:rPr>
          <w:sz w:val="21"/>
        </w:rPr>
        <w:t>=</w:t>
      </w:r>
      <w:r>
        <w:rPr>
          <w:sz w:val="21"/>
        </w:rPr>
        <w:t>年服务费</w:t>
      </w:r>
      <w:r>
        <w:rPr>
          <w:sz w:val="21"/>
        </w:rPr>
        <w:t>÷365</w:t>
      </w:r>
      <w:r>
        <w:rPr>
          <w:sz w:val="21"/>
        </w:rPr>
        <w:t>天）。</w:t>
      </w:r>
    </w:p>
    <w:p>
      <w:pPr>
        <w:ind w:firstLine="420"/>
        <w:jc w:val="both"/>
      </w:pPr>
      <w:r>
        <w:rPr>
          <w:sz w:val="21"/>
        </w:rPr>
        <w:t>2.</w:t>
      </w:r>
      <w:r>
        <w:rPr>
          <w:sz w:val="21"/>
        </w:rPr>
        <w:t>每季度服务费在支付前须经甲方现场考核评分后方可支付。服务评分考核产生扣分的，按每分</w:t>
      </w:r>
      <w:r>
        <w:rPr>
          <w:sz w:val="21"/>
        </w:rPr>
        <w:t>100</w:t>
      </w:r>
      <w:r>
        <w:rPr>
          <w:sz w:val="21"/>
        </w:rPr>
        <w:t>元扣减当月服务费，需提交经甲方与乙方双方盖章确认的扣罚通知书。</w:t>
      </w:r>
    </w:p>
    <w:p>
      <w:pPr>
        <w:ind w:firstLine="420"/>
        <w:jc w:val="both"/>
      </w:pPr>
      <w:r>
        <w:rPr>
          <w:sz w:val="21"/>
        </w:rPr>
        <w:t>（三）甲方在收到乙方提供的等额正式完税发票及完整的请款资料后</w:t>
      </w:r>
      <w:r>
        <w:rPr>
          <w:sz w:val="21"/>
        </w:rPr>
        <w:t>5</w:t>
      </w:r>
      <w:r>
        <w:rPr>
          <w:sz w:val="21"/>
        </w:rPr>
        <w:t>个工作日内办理支付手续。</w:t>
      </w:r>
    </w:p>
    <w:p>
      <w:pPr>
        <w:ind w:firstLine="420"/>
        <w:jc w:val="both"/>
      </w:pPr>
      <w:r>
        <w:rPr>
          <w:sz w:val="21"/>
        </w:rPr>
        <w:t>（四）本项目的经费由财政拨款，采用财政集中支付方式由区财政直接支付，如因特殊情况的影响，拨款未能及时到位，乙方不得以此为由拒不履行服务，否则甲方将按规定扣减当月服务费。</w:t>
      </w:r>
    </w:p>
    <w:p>
      <w:pPr>
        <w:ind w:firstLine="422"/>
        <w:jc w:val="both"/>
      </w:pPr>
      <w:r>
        <w:rPr>
          <w:b/>
          <w:sz w:val="21"/>
        </w:rPr>
        <w:t>六、履约担保</w:t>
      </w:r>
    </w:p>
    <w:p>
      <w:pPr>
        <w:ind w:firstLine="420"/>
        <w:jc w:val="both"/>
      </w:pPr>
      <w:r>
        <w:rPr>
          <w:sz w:val="21"/>
        </w:rPr>
        <w:t>（一）乙方在合同服务期开始前</w:t>
      </w:r>
      <w:r>
        <w:rPr>
          <w:sz w:val="21"/>
        </w:rPr>
        <w:t>5</w:t>
      </w:r>
      <w:r>
        <w:rPr>
          <w:sz w:val="21"/>
        </w:rPr>
        <w:t>个工作日内，一次性向甲方提交本合同金额</w:t>
      </w:r>
      <w:r>
        <w:rPr>
          <w:sz w:val="21"/>
        </w:rPr>
        <w:t>5%</w:t>
      </w:r>
      <w:r>
        <w:rPr>
          <w:sz w:val="21"/>
        </w:rPr>
        <w:t>的见索即付履约保函作为履约担保，并将履约保函原件送交甲方备查和代为保管，保函有效期不得早于本合同服务期届满之日起满六个月，保函在有效期届满后自动失效。若乙方无违约行为，在保函有效期届满后，乙方提出申请，甲方将履约保函原件退还乙方。对于因乙方原因提前解除合同的，或造成甲方受到较大损失的，或在服务期发现原投标材料有虚假证明，报经政府采购管理部门认定属实后依法进行处罚的，该履约保证金不予退还。</w:t>
      </w:r>
    </w:p>
    <w:p>
      <w:pPr>
        <w:ind w:firstLine="420"/>
        <w:jc w:val="both"/>
      </w:pPr>
      <w:r>
        <w:rPr>
          <w:sz w:val="21"/>
        </w:rPr>
        <w:t>（二）乙方发生如下情形之一的，甲方不予退还履约保证金（履约保函）：</w:t>
      </w:r>
    </w:p>
    <w:p>
      <w:pPr>
        <w:ind w:firstLine="420"/>
        <w:jc w:val="both"/>
      </w:pPr>
      <w:r>
        <w:rPr>
          <w:sz w:val="21"/>
        </w:rPr>
        <w:t>1.</w:t>
      </w:r>
      <w:r>
        <w:rPr>
          <w:sz w:val="21"/>
        </w:rPr>
        <w:t>乙方事前未告知或未征得甲方同意而将本项目转包或分包的；</w:t>
      </w:r>
    </w:p>
    <w:p>
      <w:pPr>
        <w:ind w:firstLine="420"/>
        <w:jc w:val="both"/>
      </w:pPr>
      <w:r>
        <w:rPr>
          <w:sz w:val="21"/>
        </w:rPr>
        <w:t>2.</w:t>
      </w:r>
      <w:r>
        <w:rPr>
          <w:sz w:val="21"/>
        </w:rPr>
        <w:t>乙方未能按合同约定履行服务义务、职责而造成甲方财物损失的；</w:t>
      </w:r>
    </w:p>
    <w:p>
      <w:pPr>
        <w:ind w:firstLine="420"/>
        <w:jc w:val="both"/>
      </w:pPr>
      <w:r>
        <w:rPr>
          <w:sz w:val="21"/>
        </w:rPr>
        <w:t>3.</w:t>
      </w:r>
      <w:r>
        <w:rPr>
          <w:sz w:val="21"/>
        </w:rPr>
        <w:t>乙方在服务过程中发生严重失职导致责任事故或者不良社会影响的；</w:t>
      </w:r>
    </w:p>
    <w:p>
      <w:pPr>
        <w:ind w:firstLine="420"/>
        <w:jc w:val="both"/>
      </w:pPr>
      <w:r>
        <w:rPr>
          <w:sz w:val="21"/>
        </w:rPr>
        <w:t>4.</w:t>
      </w:r>
      <w:r>
        <w:rPr>
          <w:sz w:val="21"/>
        </w:rPr>
        <w:t>乙方克扣人员工资或未按规定及时足额支付人员工资福利待遇的；</w:t>
      </w:r>
    </w:p>
    <w:p>
      <w:pPr>
        <w:ind w:firstLine="420"/>
        <w:jc w:val="both"/>
      </w:pPr>
      <w:r>
        <w:rPr>
          <w:sz w:val="21"/>
        </w:rPr>
        <w:t>5.</w:t>
      </w:r>
      <w:r>
        <w:rPr>
          <w:sz w:val="21"/>
        </w:rPr>
        <w:t>乙方违反合同规定，所提供的服务未达到合同要求，甲方发出书面整改通知，乙方未按要求及时整改，累计发出达三次的。</w:t>
      </w:r>
    </w:p>
    <w:p>
      <w:pPr>
        <w:ind w:firstLine="420"/>
        <w:jc w:val="both"/>
      </w:pPr>
      <w:r>
        <w:rPr>
          <w:sz w:val="21"/>
        </w:rPr>
        <w:t>如在合同期内，乙方发生以上情形之一，甲方可直接从为乙方提供履约保函的担保机构直接提取违约金作为造成各种损失的补偿。</w:t>
      </w:r>
    </w:p>
    <w:p>
      <w:pPr>
        <w:ind w:firstLine="420"/>
        <w:jc w:val="both"/>
      </w:pPr>
      <w:r>
        <w:rPr>
          <w:sz w:val="21"/>
        </w:rPr>
        <w:t>（三）逾期不退还履约保证金（履约保函）的违约责任：</w:t>
      </w:r>
    </w:p>
    <w:p>
      <w:pPr>
        <w:ind w:firstLine="420"/>
        <w:jc w:val="both"/>
      </w:pPr>
      <w:r>
        <w:rPr>
          <w:sz w:val="21"/>
        </w:rPr>
        <w:t>因甲方原因逾期退还履约保证金（履约保函）给乙方造成损失的，由甲方负责赔偿。</w:t>
      </w:r>
    </w:p>
    <w:p>
      <w:pPr>
        <w:ind w:firstLine="420"/>
        <w:jc w:val="both"/>
      </w:pPr>
      <w:r>
        <w:rPr>
          <w:sz w:val="21"/>
        </w:rPr>
        <w:t>（四）合同期间，乙方违约，严重影响甲方正常工作，造成人身伤害、财产受损，甲方可按合同违约条款终止合同，并向乙方索偿；乙方拒绝赔偿的，履约保证金将用于冲抵甲方经济损失后返还金额，如保证金不足以冲抵损失时，甲方有权另行向乙方追讨。</w:t>
      </w:r>
    </w:p>
    <w:p>
      <w:pPr>
        <w:ind w:firstLine="422"/>
        <w:jc w:val="both"/>
      </w:pPr>
      <w:r>
        <w:rPr>
          <w:b/>
          <w:sz w:val="21"/>
        </w:rPr>
        <w:t>七、甲乙双方的权利和义务</w:t>
      </w:r>
    </w:p>
    <w:p>
      <w:pPr>
        <w:ind w:firstLine="420"/>
        <w:jc w:val="both"/>
      </w:pPr>
      <w:r>
        <w:rPr>
          <w:sz w:val="21"/>
        </w:rPr>
        <w:t>（一）甲方的权利和义务</w:t>
      </w:r>
    </w:p>
    <w:p>
      <w:pPr>
        <w:ind w:firstLine="420"/>
        <w:jc w:val="both"/>
      </w:pPr>
      <w:r>
        <w:rPr>
          <w:sz w:val="21"/>
        </w:rPr>
        <w:t>1.</w:t>
      </w:r>
      <w:r>
        <w:rPr>
          <w:sz w:val="21"/>
        </w:rPr>
        <w:t>审定乙方拟定的项目管理制度、服务方案和年度计划，并提出合理化建议，督促乙方健全应有的制度规程、工作规范等。</w:t>
      </w:r>
    </w:p>
    <w:p>
      <w:pPr>
        <w:ind w:firstLine="420"/>
        <w:jc w:val="both"/>
      </w:pPr>
      <w:r>
        <w:rPr>
          <w:sz w:val="21"/>
        </w:rPr>
        <w:t>2.</w:t>
      </w:r>
      <w:r>
        <w:rPr>
          <w:sz w:val="21"/>
        </w:rPr>
        <w:t>检查监督乙方工作的实施及制度的执行情况。</w:t>
      </w:r>
    </w:p>
    <w:p>
      <w:pPr>
        <w:ind w:firstLine="420"/>
        <w:jc w:val="both"/>
      </w:pPr>
      <w:r>
        <w:rPr>
          <w:sz w:val="21"/>
        </w:rPr>
        <w:t>3.</w:t>
      </w:r>
      <w:r>
        <w:rPr>
          <w:sz w:val="21"/>
        </w:rPr>
        <w:t>对乙方不称职的工作人员，甲方有权要求乙方限期更换。</w:t>
      </w:r>
    </w:p>
    <w:p>
      <w:pPr>
        <w:ind w:firstLine="420"/>
        <w:jc w:val="both"/>
      </w:pPr>
      <w:r>
        <w:rPr>
          <w:sz w:val="21"/>
        </w:rPr>
        <w:t>4.</w:t>
      </w:r>
      <w:r>
        <w:rPr>
          <w:sz w:val="21"/>
        </w:rPr>
        <w:t>指导乙方做好项目管理服务工作。</w:t>
      </w:r>
    </w:p>
    <w:p>
      <w:pPr>
        <w:ind w:firstLine="420"/>
        <w:jc w:val="both"/>
      </w:pPr>
      <w:r>
        <w:rPr>
          <w:sz w:val="21"/>
        </w:rPr>
        <w:t>5.</w:t>
      </w:r>
      <w:r>
        <w:rPr>
          <w:sz w:val="21"/>
        </w:rPr>
        <w:t>当满足合同约定支付条件时，按时支付服务费给乙方。</w:t>
      </w:r>
    </w:p>
    <w:p>
      <w:pPr>
        <w:ind w:firstLine="420"/>
        <w:jc w:val="both"/>
      </w:pPr>
      <w:r>
        <w:rPr>
          <w:sz w:val="21"/>
        </w:rPr>
        <w:t>6.</w:t>
      </w:r>
      <w:r>
        <w:rPr>
          <w:sz w:val="21"/>
        </w:rPr>
        <w:t>监督乙方按照本合同规定内容所进行的管理和服务活动，组织对乙方工作综合考评。</w:t>
      </w:r>
    </w:p>
    <w:p>
      <w:pPr>
        <w:ind w:firstLine="420"/>
        <w:jc w:val="both"/>
      </w:pPr>
      <w:r>
        <w:rPr>
          <w:sz w:val="21"/>
        </w:rPr>
        <w:t>7.</w:t>
      </w:r>
      <w:r>
        <w:rPr>
          <w:sz w:val="21"/>
        </w:rPr>
        <w:t>招标文件、投标文件及合同附件中约定的甲方其他权利义务。</w:t>
      </w:r>
    </w:p>
    <w:p>
      <w:pPr>
        <w:ind w:firstLine="420"/>
        <w:jc w:val="both"/>
      </w:pPr>
      <w:r>
        <w:rPr>
          <w:sz w:val="21"/>
        </w:rPr>
        <w:t>（二）乙方的权利和义务</w:t>
      </w:r>
    </w:p>
    <w:p>
      <w:pPr>
        <w:ind w:firstLine="420"/>
        <w:jc w:val="both"/>
      </w:pPr>
      <w:r>
        <w:rPr>
          <w:sz w:val="21"/>
        </w:rPr>
        <w:t>1.</w:t>
      </w:r>
      <w:r>
        <w:rPr>
          <w:sz w:val="21"/>
        </w:rPr>
        <w:t>根据有关法律法规、投标文件及本合同的约定，制订项目管理制度，编制项目服务方案、年度计划，根据甲方审定的管理制度、服务方案及年度计划自主开展项目日常管理服务工作。</w:t>
      </w:r>
    </w:p>
    <w:p>
      <w:pPr>
        <w:ind w:firstLine="420"/>
        <w:jc w:val="both"/>
      </w:pPr>
      <w:r>
        <w:rPr>
          <w:sz w:val="21"/>
        </w:rPr>
        <w:t>2.</w:t>
      </w:r>
      <w:r>
        <w:rPr>
          <w:sz w:val="21"/>
        </w:rPr>
        <w:t>按甲方要求及时如实向甲方报告项目实施情况；在服务过程中发生的事故应及时告知甲方，对无法解决的事项，要及时向甲方反映。</w:t>
      </w:r>
    </w:p>
    <w:p>
      <w:pPr>
        <w:ind w:firstLine="420"/>
        <w:jc w:val="both"/>
      </w:pPr>
      <w:r>
        <w:rPr>
          <w:sz w:val="21"/>
        </w:rPr>
        <w:t>3.</w:t>
      </w:r>
      <w:r>
        <w:rPr>
          <w:sz w:val="21"/>
        </w:rPr>
        <w:t>建立、妥善保管和正确使用本项目相关的管理档案，并负责及时记录项目有关工作情况。</w:t>
      </w:r>
    </w:p>
    <w:p>
      <w:pPr>
        <w:ind w:firstLine="420"/>
        <w:jc w:val="both"/>
      </w:pPr>
      <w:r>
        <w:rPr>
          <w:sz w:val="21"/>
        </w:rPr>
        <w:t>4.</w:t>
      </w:r>
      <w:r>
        <w:rPr>
          <w:sz w:val="21"/>
        </w:rPr>
        <w:t>对公园内的公用设施不得擅自占用和改变使用功能。</w:t>
      </w:r>
    </w:p>
    <w:p>
      <w:pPr>
        <w:ind w:firstLine="420"/>
        <w:jc w:val="both"/>
      </w:pPr>
      <w:r>
        <w:rPr>
          <w:sz w:val="21"/>
        </w:rPr>
        <w:t>5.</w:t>
      </w:r>
      <w:r>
        <w:rPr>
          <w:sz w:val="21"/>
        </w:rPr>
        <w:t>因乙方在工作中的过错或违反本合同的约定进行服务造成甲方或第三人损失的，乙方应依法承担赔偿责任。</w:t>
      </w:r>
    </w:p>
    <w:p>
      <w:pPr>
        <w:ind w:firstLine="420"/>
        <w:jc w:val="both"/>
      </w:pPr>
      <w:r>
        <w:rPr>
          <w:sz w:val="21"/>
        </w:rPr>
        <w:t>6.</w:t>
      </w:r>
      <w:r>
        <w:rPr>
          <w:sz w:val="21"/>
        </w:rPr>
        <w:t>本合同终止时，乙方必须在甲方要求的时间内及时向甲方移交全部管理用房及项目的全部档案资料，确保移交的资料和设备、设施齐全、完好无缺。</w:t>
      </w:r>
    </w:p>
    <w:p>
      <w:pPr>
        <w:ind w:firstLine="420"/>
        <w:jc w:val="both"/>
      </w:pPr>
      <w:r>
        <w:rPr>
          <w:sz w:val="21"/>
        </w:rPr>
        <w:t>7.</w:t>
      </w:r>
      <w:r>
        <w:rPr>
          <w:sz w:val="21"/>
        </w:rPr>
        <w:t>招标文件、投标文件及合同附件中约定的乙方其他权利义务。</w:t>
      </w:r>
    </w:p>
    <w:p>
      <w:pPr>
        <w:ind w:firstLine="422"/>
        <w:jc w:val="both"/>
      </w:pPr>
      <w:r>
        <w:rPr>
          <w:b/>
          <w:sz w:val="21"/>
        </w:rPr>
        <w:t>八、违约责任</w:t>
      </w:r>
    </w:p>
    <w:p>
      <w:pPr>
        <w:ind w:firstLine="420"/>
        <w:jc w:val="both"/>
      </w:pPr>
      <w:r>
        <w:rPr>
          <w:sz w:val="21"/>
        </w:rPr>
        <w:t>（一）乙方不得转包或分包项目内容，乙方转包或分包项目内容的，甲方有权解除合同，并要求乙方在规定的时间内移交项目及有关档案资料，同时甲方有权要求乙方按本合同金额的</w:t>
      </w:r>
      <w:r>
        <w:rPr>
          <w:sz w:val="21"/>
        </w:rPr>
        <w:t>10%</w:t>
      </w:r>
      <w:r>
        <w:rPr>
          <w:sz w:val="21"/>
        </w:rPr>
        <w:t>支付违约金。</w:t>
      </w:r>
    </w:p>
    <w:p>
      <w:pPr>
        <w:ind w:firstLine="420"/>
        <w:jc w:val="both"/>
      </w:pPr>
      <w:r>
        <w:rPr>
          <w:sz w:val="21"/>
        </w:rPr>
        <w:t>（二）乙方违反技术规范和管理要求作业造成损失的，除赔偿损失、限期整改外，甲方还将对乙方进行通报警告。</w:t>
      </w:r>
    </w:p>
    <w:p>
      <w:pPr>
        <w:ind w:firstLine="420"/>
        <w:jc w:val="both"/>
      </w:pPr>
      <w:r>
        <w:rPr>
          <w:sz w:val="21"/>
        </w:rPr>
        <w:t>（三）在合同期内，乙方必须如数保养甲方委托其管理的绿化、园建设施等，未经甲方批准不得改变现状、功能。如有违反，甲方责令限期恢复原貌，并按违反相关管理规定处理，记录在案。</w:t>
      </w:r>
    </w:p>
    <w:p>
      <w:pPr>
        <w:ind w:firstLine="420"/>
        <w:jc w:val="both"/>
      </w:pPr>
      <w:r>
        <w:rPr>
          <w:sz w:val="21"/>
        </w:rPr>
        <w:t>（四）乙方应按其响应项目提供服务，凡未提供或未达到标准的须限期整改，逾期未改的，每逾期一天，由甲方扣除当月服务费的</w:t>
      </w:r>
      <w:r>
        <w:rPr>
          <w:sz w:val="21"/>
        </w:rPr>
        <w:t>3‰</w:t>
      </w:r>
      <w:r>
        <w:rPr>
          <w:sz w:val="21"/>
        </w:rPr>
        <w:t>作为违约金。</w:t>
      </w:r>
    </w:p>
    <w:p>
      <w:pPr>
        <w:ind w:firstLine="420"/>
        <w:jc w:val="both"/>
      </w:pPr>
      <w:r>
        <w:rPr>
          <w:sz w:val="21"/>
        </w:rPr>
        <w:t>（五）乙方违反合同规定，所提供的服务未达到合同要求，甲方发出书面整改通知，乙方未按要求及时整改，累计发出达三次的，甲方有权终止合同，并要求乙方按本合同金额的</w:t>
      </w:r>
      <w:r>
        <w:rPr>
          <w:sz w:val="21"/>
        </w:rPr>
        <w:t>10%</w:t>
      </w:r>
      <w:r>
        <w:rPr>
          <w:sz w:val="21"/>
        </w:rPr>
        <w:t>支付违约金，由此造成甲方经济损失的，乙方应给予赔偿。</w:t>
      </w:r>
    </w:p>
    <w:p>
      <w:pPr>
        <w:ind w:firstLine="420"/>
        <w:jc w:val="both"/>
      </w:pPr>
      <w:r>
        <w:rPr>
          <w:sz w:val="21"/>
        </w:rPr>
        <w:t>（六）乙方提供的服务达到合同要求，甲方应按合同约定及时办理支付手续，逾期拒付服务费的，每逾期一天，由甲方按当月服务费的</w:t>
      </w:r>
      <w:r>
        <w:rPr>
          <w:sz w:val="21"/>
        </w:rPr>
        <w:t>3‰</w:t>
      </w:r>
      <w:r>
        <w:rPr>
          <w:sz w:val="21"/>
        </w:rPr>
        <w:t>向乙方支付违约金，因政府内部支付流程或乙方原因造成的支付时间延迟不属于甲方违约，甲方不因此承担逾期付款的违约责任。</w:t>
      </w:r>
    </w:p>
    <w:p>
      <w:pPr>
        <w:ind w:firstLine="422"/>
        <w:jc w:val="both"/>
      </w:pPr>
      <w:r>
        <w:rPr>
          <w:b/>
          <w:sz w:val="21"/>
        </w:rPr>
        <w:t>九、知识产权归属</w:t>
      </w:r>
    </w:p>
    <w:p>
      <w:pPr>
        <w:ind w:firstLine="420"/>
        <w:jc w:val="both"/>
      </w:pPr>
      <w:r>
        <w:rPr>
          <w:sz w:val="21"/>
        </w:rPr>
        <w:t>乙方应保证应用于本项目的技术、产品、服务或其任何一部分不会产生因第三方提出侵犯其专利权、商标权或其他知识产权而引起的法律和经济纠纷；如因第三方提出其专利权、商标权或其他知识产权的侵权之诉，则一切法律责任由乙方承担。</w:t>
      </w:r>
    </w:p>
    <w:p>
      <w:pPr>
        <w:ind w:firstLine="422"/>
        <w:jc w:val="both"/>
      </w:pPr>
      <w:r>
        <w:rPr>
          <w:b/>
          <w:sz w:val="21"/>
        </w:rPr>
        <w:t>十、保密</w:t>
      </w:r>
    </w:p>
    <w:p>
      <w:pPr>
        <w:ind w:firstLine="420"/>
        <w:jc w:val="both"/>
      </w:pPr>
      <w:r>
        <w:rPr>
          <w:sz w:val="21"/>
        </w:rPr>
        <w:t>项目实施过程中至乙方正式向甲方交付技术文档资料时止，乙方必须采取措施对本项目实施过程中的数据、源代码、技术文档等资料保密，否则，由于乙方过错导致上述资料泄密的，乙方必须承担一切责任。项目完成后，甲、乙双方均有责任对本项目的技术保密承担责任。</w:t>
      </w:r>
    </w:p>
    <w:p>
      <w:pPr>
        <w:ind w:firstLine="422"/>
        <w:jc w:val="both"/>
      </w:pPr>
      <w:r>
        <w:rPr>
          <w:b/>
          <w:sz w:val="21"/>
        </w:rPr>
        <w:t>十一、争议的解决</w:t>
      </w:r>
    </w:p>
    <w:p>
      <w:pPr>
        <w:ind w:firstLine="420"/>
        <w:jc w:val="both"/>
      </w:pPr>
      <w:r>
        <w:rPr>
          <w:sz w:val="21"/>
        </w:rPr>
        <w:t>合同执行过程中发生的任何争议，如双方不能通过友好协商解决，任何一方可向甲方所在地人民法院提起诉讼。法院审理期间，除提起诉讼的事项外，合同其余事项照常执行。</w:t>
      </w:r>
    </w:p>
    <w:p>
      <w:pPr>
        <w:ind w:firstLine="422"/>
        <w:jc w:val="both"/>
      </w:pPr>
      <w:r>
        <w:rPr>
          <w:b/>
          <w:sz w:val="21"/>
        </w:rPr>
        <w:t>十二、不可抗力</w:t>
      </w:r>
    </w:p>
    <w:p>
      <w:pPr>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ind w:firstLine="422"/>
        <w:jc w:val="both"/>
      </w:pPr>
      <w:r>
        <w:rPr>
          <w:b/>
          <w:sz w:val="21"/>
        </w:rPr>
        <w:t>十三、税费</w:t>
      </w:r>
    </w:p>
    <w:p>
      <w:pPr>
        <w:ind w:firstLine="420"/>
        <w:jc w:val="both"/>
      </w:pPr>
      <w:r>
        <w:rPr>
          <w:sz w:val="21"/>
        </w:rPr>
        <w:t>在中国境内、外发生的与本合同执行有关的一切税费均由乙方负担。</w:t>
      </w:r>
    </w:p>
    <w:p>
      <w:pPr>
        <w:ind w:firstLine="422"/>
        <w:jc w:val="both"/>
      </w:pPr>
      <w:r>
        <w:rPr>
          <w:b/>
          <w:sz w:val="21"/>
        </w:rPr>
        <w:t>十四、其他</w:t>
      </w:r>
    </w:p>
    <w:p>
      <w:pPr>
        <w:ind w:firstLine="420"/>
        <w:jc w:val="both"/>
      </w:pPr>
      <w:r>
        <w:rPr>
          <w:sz w:val="21"/>
        </w:rPr>
        <w:t>（一）本合同所有附件、招标文件、投标文件、中标通知书均为合同的有效组成部分，与本合同具有同等法律效力。</w:t>
      </w:r>
    </w:p>
    <w:p>
      <w:pPr>
        <w:ind w:firstLine="420"/>
        <w:jc w:val="both"/>
      </w:pPr>
      <w:r>
        <w:rPr>
          <w:sz w:val="21"/>
        </w:rPr>
        <w:t>（二）在执行本合同的过程中，所有经双方签署确认的文件（包括会议纪要、补充协议、往来信函）即成为本合同的有效组成部分。</w:t>
      </w:r>
    </w:p>
    <w:p>
      <w:pPr>
        <w:ind w:firstLine="420"/>
        <w:jc w:val="both"/>
      </w:pPr>
      <w:r>
        <w:rPr>
          <w:sz w:val="21"/>
        </w:rPr>
        <w:t>（三）如一方地址、电话、传真号码有变更，应在变更当日内书面通知对方，否则，应承担相应责任。</w:t>
      </w:r>
    </w:p>
    <w:p>
      <w:pPr>
        <w:ind w:firstLine="420"/>
        <w:jc w:val="both"/>
      </w:pPr>
      <w:r>
        <w:rPr>
          <w:sz w:val="21"/>
        </w:rPr>
        <w:t>（四）除甲方事先书面同意外，乙方不得部分或全部转让其应履行的合同项下的义务。</w:t>
      </w:r>
    </w:p>
    <w:p>
      <w:pPr>
        <w:ind w:firstLine="422"/>
        <w:jc w:val="both"/>
      </w:pPr>
      <w:r>
        <w:rPr>
          <w:b/>
          <w:sz w:val="21"/>
        </w:rPr>
        <w:t>十五、合同生效</w:t>
      </w:r>
    </w:p>
    <w:p>
      <w:pPr>
        <w:ind w:firstLine="420"/>
        <w:jc w:val="both"/>
      </w:pPr>
      <w:r>
        <w:rPr>
          <w:sz w:val="21"/>
        </w:rPr>
        <w:t>本合同一式六份，具有同等法律效力，甲、乙双方各执三份。本合同自甲、乙双方签字盖章后，合同约定的服务起始之日起生效。本合同未尽事宜，由双方协商处理。</w:t>
      </w:r>
    </w:p>
    <w:p>
      <w:pPr>
        <w:ind w:firstLine="420"/>
        <w:jc w:val="both"/>
      </w:pPr>
      <w:r>
        <w:rPr>
          <w:sz w:val="21"/>
        </w:rPr>
        <w:t>（以下无正文）</w:t>
      </w:r>
    </w:p>
    <w:p>
      <w:pPr>
        <w:jc w:val="both"/>
      </w:pPr>
    </w:p>
    <w:p>
      <w:pPr>
        <w:jc w:val="both"/>
      </w:pPr>
    </w:p>
    <w:p>
      <w:pPr>
        <w:jc w:val="both"/>
      </w:pPr>
    </w:p>
    <w:p>
      <w:pPr>
        <w:jc w:val="both"/>
      </w:pPr>
      <w:r>
        <w:rPr>
          <w:sz w:val="21"/>
        </w:rPr>
        <w:t>甲方（盖章）：</w:t>
      </w:r>
      <w:r>
        <w:rPr>
          <w:sz w:val="21"/>
        </w:rPr>
        <w:t xml:space="preserve">                        </w:t>
      </w:r>
      <w:r>
        <w:rPr>
          <w:sz w:val="21"/>
        </w:rPr>
        <w:t>乙方（盖章）：</w:t>
      </w:r>
    </w:p>
    <w:p>
      <w:pPr>
        <w:jc w:val="both"/>
      </w:pPr>
      <w:r>
        <w:rPr>
          <w:sz w:val="21"/>
        </w:rPr>
        <w:t>法定代表人</w:t>
      </w:r>
      <w:r>
        <w:rPr>
          <w:sz w:val="21"/>
        </w:rPr>
        <w:t>(</w:t>
      </w:r>
      <w:r>
        <w:rPr>
          <w:sz w:val="21"/>
        </w:rPr>
        <w:t>签字或盖章</w:t>
      </w:r>
      <w:r>
        <w:rPr>
          <w:sz w:val="21"/>
        </w:rPr>
        <w:t>)</w:t>
      </w:r>
      <w:r>
        <w:rPr>
          <w:sz w:val="21"/>
        </w:rPr>
        <w:t>：               法定代表人</w:t>
      </w:r>
      <w:r>
        <w:rPr>
          <w:sz w:val="21"/>
        </w:rPr>
        <w:t>(</w:t>
      </w:r>
      <w:r>
        <w:rPr>
          <w:sz w:val="21"/>
        </w:rPr>
        <w:t>签字或盖章</w:t>
      </w:r>
      <w:r>
        <w:rPr>
          <w:sz w:val="21"/>
        </w:rPr>
        <w:t>)</w:t>
      </w:r>
      <w:r>
        <w:rPr>
          <w:sz w:val="21"/>
        </w:rPr>
        <w:t>：</w:t>
      </w:r>
    </w:p>
    <w:p>
      <w:pPr>
        <w:jc w:val="both"/>
      </w:pPr>
      <w:r>
        <w:rPr>
          <w:sz w:val="21"/>
        </w:rPr>
        <w:t>地址：</w:t>
      </w:r>
      <w:r>
        <w:rPr>
          <w:sz w:val="21"/>
        </w:rPr>
        <w:t xml:space="preserve">                               </w:t>
      </w:r>
      <w:r>
        <w:rPr>
          <w:sz w:val="21"/>
        </w:rPr>
        <w:t>地址：</w:t>
      </w:r>
      <w:r>
        <w:rPr>
          <w:sz w:val="21"/>
        </w:rPr>
        <w:t xml:space="preserve">                                                             </w:t>
      </w:r>
    </w:p>
    <w:p>
      <w:pPr>
        <w:jc w:val="both"/>
      </w:pPr>
      <w:r>
        <w:rPr>
          <w:sz w:val="21"/>
        </w:rPr>
        <w:t>电话：</w:t>
      </w:r>
      <w:r>
        <w:rPr>
          <w:sz w:val="21"/>
        </w:rPr>
        <w:t xml:space="preserve">                               </w:t>
      </w:r>
      <w:r>
        <w:rPr>
          <w:sz w:val="21"/>
        </w:rPr>
        <w:t>电话：</w:t>
      </w:r>
    </w:p>
    <w:p>
      <w:pPr>
        <w:jc w:val="both"/>
      </w:pPr>
      <w:r>
        <w:rPr>
          <w:sz w:val="21"/>
        </w:rPr>
        <w:t>传真：</w:t>
      </w:r>
      <w:r>
        <w:rPr>
          <w:sz w:val="21"/>
        </w:rPr>
        <w:t xml:space="preserve">                               </w:t>
      </w:r>
      <w:r>
        <w:rPr>
          <w:sz w:val="21"/>
        </w:rPr>
        <w:t>传真：</w:t>
      </w:r>
    </w:p>
    <w:p>
      <w:pPr>
        <w:jc w:val="both"/>
      </w:pPr>
      <w:r>
        <w:rPr>
          <w:sz w:val="21"/>
        </w:rPr>
        <w:t>签约日期</w:t>
      </w:r>
      <w:r>
        <w:rPr>
          <w:sz w:val="21"/>
        </w:rPr>
        <w:t xml:space="preserve">:      </w:t>
      </w:r>
      <w:r>
        <w:rPr>
          <w:sz w:val="21"/>
        </w:rPr>
        <w:t xml:space="preserve">年    月    日         </w:t>
      </w:r>
      <w:r>
        <w:rPr>
          <w:sz w:val="21"/>
        </w:rPr>
        <w:t xml:space="preserve"> </w:t>
      </w:r>
      <w:r>
        <w:rPr>
          <w:sz w:val="21"/>
        </w:rPr>
        <w:t>签约日期</w:t>
      </w:r>
      <w:r>
        <w:rPr>
          <w:sz w:val="21"/>
        </w:rPr>
        <w:t xml:space="preserve">:      </w:t>
      </w:r>
      <w:r>
        <w:rPr>
          <w:sz w:val="21"/>
        </w:rPr>
        <w:t>年    月    日</w:t>
      </w:r>
    </w:p>
    <w:p>
      <w:pPr>
        <w:jc w:val="both"/>
      </w:pPr>
    </w:p>
    <w:p>
      <w:pPr>
        <w:ind w:firstLine="420"/>
        <w:jc w:val="left"/>
      </w:pPr>
    </w:p>
    <w:p/>
    <w:p>
      <w:pPr>
        <w:jc w:val="center"/>
      </w:pPr>
      <w:r>
        <w:rPr>
          <w:b/>
          <w:sz w:val="48"/>
        </w:rPr>
        <w:t>廉</w:t>
      </w:r>
      <w:r>
        <w:rPr>
          <w:b/>
          <w:sz w:val="21"/>
        </w:rPr>
        <w:t xml:space="preserve"> </w:t>
      </w:r>
      <w:r>
        <w:rPr>
          <w:b/>
          <w:sz w:val="48"/>
        </w:rPr>
        <w:t>洁</w:t>
      </w:r>
      <w:r>
        <w:rPr>
          <w:b/>
          <w:sz w:val="21"/>
        </w:rPr>
        <w:t xml:space="preserve"> </w:t>
      </w:r>
      <w:r>
        <w:rPr>
          <w:b/>
          <w:sz w:val="48"/>
        </w:rPr>
        <w:t>协</w:t>
      </w:r>
      <w:r>
        <w:rPr>
          <w:b/>
          <w:sz w:val="21"/>
        </w:rPr>
        <w:t xml:space="preserve"> </w:t>
      </w:r>
      <w:r>
        <w:rPr>
          <w:b/>
          <w:sz w:val="48"/>
        </w:rPr>
        <w:t>议</w:t>
      </w:r>
    </w:p>
    <w:p>
      <w:pPr>
        <w:jc w:val="both"/>
      </w:pPr>
    </w:p>
    <w:p>
      <w:pPr>
        <w:jc w:val="both"/>
      </w:pPr>
      <w:r>
        <w:rPr>
          <w:sz w:val="21"/>
        </w:rPr>
        <w:t>甲方（发包人）：</w:t>
      </w:r>
      <w:r>
        <w:rPr>
          <w:sz w:val="21"/>
          <w:u w:val="single"/>
        </w:rPr>
        <w:t xml:space="preserve">                                                                 </w:t>
      </w:r>
      <w:r>
        <w:rPr>
          <w:sz w:val="21"/>
        </w:rPr>
        <w:t xml:space="preserve">                                                       </w:t>
      </w:r>
    </w:p>
    <w:p>
      <w:pPr>
        <w:jc w:val="both"/>
      </w:pPr>
      <w:r>
        <w:rPr>
          <w:sz w:val="21"/>
        </w:rPr>
        <w:t>乙方（承包人）：</w:t>
      </w:r>
      <w:r>
        <w:rPr>
          <w:sz w:val="21"/>
          <w:u w:val="single"/>
        </w:rPr>
        <w:t xml:space="preserve">                 </w:t>
      </w:r>
      <w:r>
        <w:rPr>
          <w:sz w:val="21"/>
          <w:u w:val="single"/>
        </w:rPr>
        <w:t xml:space="preserve">          </w:t>
      </w:r>
      <w:r>
        <w:rPr>
          <w:sz w:val="21"/>
          <w:u w:val="single"/>
        </w:rPr>
        <w:t xml:space="preserve">                                     </w:t>
      </w:r>
      <w:r>
        <w:rPr>
          <w:sz w:val="21"/>
        </w:rPr>
        <w:t xml:space="preserve">                                             </w:t>
      </w:r>
    </w:p>
    <w:p>
      <w:pPr>
        <w:jc w:val="both"/>
      </w:pPr>
    </w:p>
    <w:p>
      <w:pPr>
        <w:ind w:firstLine="420"/>
        <w:jc w:val="both"/>
      </w:pPr>
      <w:r>
        <w:rPr>
          <w:sz w:val="21"/>
        </w:rPr>
        <w:t>为了在项目实施中保持廉洁自律的工作作风，防止项目承发包过程中不正之风和腐败现象的发生，根据国家、广东省和广州市有关项目承发包和廉政建设的各项规定，结合项目的特点，特订立本协议如下：</w:t>
      </w:r>
    </w:p>
    <w:p>
      <w:pPr>
        <w:ind w:firstLine="420"/>
        <w:jc w:val="both"/>
      </w:pPr>
      <w:r>
        <w:rPr>
          <w:sz w:val="21"/>
        </w:rPr>
        <w:t>一、甲乙双方应当共同自觉遵守国家、广东省和广州市关于项目承发包工作规则以及有关廉政建设的各项规定。</w:t>
      </w:r>
    </w:p>
    <w:p>
      <w:pPr>
        <w:ind w:firstLine="420"/>
        <w:jc w:val="both"/>
      </w:pPr>
      <w:r>
        <w:rPr>
          <w:sz w:val="21"/>
        </w:rPr>
        <w:t>二、甲方及其工作人员不得以任何形式向乙方索要和收受好处费。</w:t>
      </w:r>
    </w:p>
    <w:p>
      <w:pPr>
        <w:ind w:firstLine="420"/>
        <w:jc w:val="both"/>
      </w:pPr>
      <w:r>
        <w:rPr>
          <w:sz w:val="21"/>
        </w:rPr>
        <w:t>三、甲方工作人员应当保持与乙方的正常业务交往，不得接受乙方的礼金、有价证券和贵重物品，不得在乙方报销应由甲方或个人支付的费用。</w:t>
      </w:r>
    </w:p>
    <w:p>
      <w:pPr>
        <w:ind w:firstLine="420"/>
        <w:jc w:val="both"/>
      </w:pPr>
      <w:r>
        <w:rPr>
          <w:sz w:val="21"/>
        </w:rPr>
        <w:t>四、甲方工作人员不得参加可能对公正执行公务有影响的宴请和娱乐活动。</w:t>
      </w:r>
    </w:p>
    <w:p>
      <w:pPr>
        <w:ind w:firstLine="420"/>
        <w:jc w:val="both"/>
      </w:pPr>
      <w:r>
        <w:rPr>
          <w:sz w:val="21"/>
        </w:rPr>
        <w:t>五、甲方工作人员不得要求和接受乙方为其住房装修、婚丧嫁娶、家属和子女的工作安排以及出国、出境等提供方便。</w:t>
      </w:r>
    </w:p>
    <w:p>
      <w:pPr>
        <w:ind w:firstLine="420"/>
        <w:jc w:val="both"/>
      </w:pPr>
      <w:r>
        <w:rPr>
          <w:sz w:val="21"/>
        </w:rPr>
        <w:t>六、甲方工作人员不得在乙方兼职以及向乙方介绍家属或者亲友从事与甲方项目有关的材料设备供应、项目分包等经济活动。</w:t>
      </w:r>
    </w:p>
    <w:p>
      <w:pPr>
        <w:ind w:firstLine="420"/>
        <w:jc w:val="both"/>
      </w:pPr>
      <w:r>
        <w:rPr>
          <w:sz w:val="21"/>
        </w:rPr>
        <w:t>七、乙方及其工作人员不得利用向甲方及其工作人员行贿、提供好处等不正当手段承揽项目。</w:t>
      </w:r>
    </w:p>
    <w:p>
      <w:pPr>
        <w:ind w:firstLine="420"/>
        <w:jc w:val="both"/>
      </w:pPr>
      <w:r>
        <w:rPr>
          <w:sz w:val="21"/>
        </w:rPr>
        <w:t>八、乙方不得为谋取私利擅自与甲方工作人员就项目承包、项目费用、材料设备供应、工作量变更、项目验收、项目质量问题等进行私下商谈或约定。</w:t>
      </w:r>
    </w:p>
    <w:p>
      <w:pPr>
        <w:ind w:firstLine="420"/>
        <w:jc w:val="both"/>
      </w:pPr>
      <w:r>
        <w:rPr>
          <w:sz w:val="21"/>
        </w:rPr>
        <w:t>九、乙方不得以洽谈业务、签定经济合同为借口，邀请甲方工作人员外出旅游和进入营业性高档娱乐场所。</w:t>
      </w:r>
    </w:p>
    <w:p>
      <w:pPr>
        <w:ind w:firstLine="420"/>
        <w:jc w:val="both"/>
      </w:pPr>
      <w:r>
        <w:rPr>
          <w:sz w:val="21"/>
        </w:rPr>
        <w:t>十、乙方不得为甲方及其工作人员购置或者长期无偿提供通讯工具、交通工具、家电、办公用品等物品。</w:t>
      </w:r>
    </w:p>
    <w:p>
      <w:pPr>
        <w:ind w:firstLine="420"/>
        <w:jc w:val="both"/>
      </w:pPr>
      <w:r>
        <w:rPr>
          <w:sz w:val="21"/>
        </w:rPr>
        <w:t>十一、乙方如发现甲方工作人员有违反上述协议者，应</w:t>
      </w:r>
      <w:r>
        <w:rPr>
          <w:sz w:val="21"/>
        </w:rPr>
        <w:t>及时采取措施，终止其不廉洁行为的继续发生，并及时</w:t>
      </w:r>
      <w:r>
        <w:rPr>
          <w:sz w:val="21"/>
        </w:rPr>
        <w:t>向甲方领导、甲方上级单位或纪检监察、检察机关举报，甲方不得找任何借口对乙方进行报复</w:t>
      </w:r>
      <w:r>
        <w:rPr>
          <w:sz w:val="21"/>
        </w:rPr>
        <w:t>或刁难、延误工作</w:t>
      </w:r>
      <w:r>
        <w:rPr>
          <w:sz w:val="21"/>
        </w:rPr>
        <w:t>。甲方对举报属实和严格遵守廉洁协议的乙方，在同等条件下给予承接后续项目投标优先权。甲方工作人员向乙方索贿，经乙方检举，被纪检监察、检察机关立案查处认定的，乙方有权从甲方获得被索贿款</w:t>
      </w:r>
      <w:r>
        <w:rPr>
          <w:sz w:val="21"/>
        </w:rPr>
        <w:t>2</w:t>
      </w:r>
      <w:r>
        <w:rPr>
          <w:sz w:val="21"/>
        </w:rPr>
        <w:t>倍作为奖励（此款由索贿人承担），由此产生的办案费由甲方索贿人承担。</w:t>
      </w:r>
    </w:p>
    <w:p>
      <w:pPr>
        <w:ind w:firstLine="420"/>
        <w:jc w:val="both"/>
      </w:pPr>
      <w:r>
        <w:rPr>
          <w:sz w:val="21"/>
        </w:rPr>
        <w:t>十二、甲方发现乙方有违反本协议或者采取不正当的手段行贿甲方工作人员，</w:t>
      </w:r>
      <w:r>
        <w:rPr>
          <w:sz w:val="21"/>
        </w:rPr>
        <w:t>经查证属实的，</w:t>
      </w:r>
      <w:r>
        <w:rPr>
          <w:sz w:val="21"/>
        </w:rPr>
        <w:t>甲方有权要求</w:t>
      </w:r>
      <w:r>
        <w:rPr>
          <w:sz w:val="21"/>
        </w:rPr>
        <w:t>乙方</w:t>
      </w:r>
      <w:r>
        <w:rPr>
          <w:sz w:val="21"/>
        </w:rPr>
        <w:t>按本</w:t>
      </w:r>
      <w:r>
        <w:rPr>
          <w:sz w:val="21"/>
        </w:rPr>
        <w:t>项目年度</w:t>
      </w:r>
      <w:r>
        <w:rPr>
          <w:sz w:val="21"/>
        </w:rPr>
        <w:t>合同金额的</w:t>
      </w:r>
      <w:r>
        <w:rPr>
          <w:sz w:val="21"/>
        </w:rPr>
        <w:t>5</w:t>
      </w:r>
      <w:r>
        <w:rPr>
          <w:sz w:val="21"/>
        </w:rPr>
        <w:t>%</w:t>
      </w:r>
      <w:r>
        <w:rPr>
          <w:sz w:val="21"/>
        </w:rPr>
        <w:t>支付违约金</w:t>
      </w:r>
      <w:r>
        <w:rPr>
          <w:sz w:val="21"/>
        </w:rPr>
        <w:t>，</w:t>
      </w:r>
      <w:r>
        <w:rPr>
          <w:sz w:val="21"/>
        </w:rPr>
        <w:t>上述违约金</w:t>
      </w:r>
      <w:r>
        <w:rPr>
          <w:sz w:val="21"/>
        </w:rPr>
        <w:t>可由甲方</w:t>
      </w:r>
      <w:r>
        <w:rPr>
          <w:sz w:val="21"/>
        </w:rPr>
        <w:t>直接从</w:t>
      </w:r>
      <w:r>
        <w:rPr>
          <w:sz w:val="21"/>
        </w:rPr>
        <w:t>应付服务费</w:t>
      </w:r>
      <w:r>
        <w:rPr>
          <w:sz w:val="21"/>
        </w:rPr>
        <w:t>中扣除</w:t>
      </w:r>
      <w:r>
        <w:rPr>
          <w:sz w:val="21"/>
        </w:rPr>
        <w:t>，</w:t>
      </w:r>
      <w:r>
        <w:rPr>
          <w:sz w:val="21"/>
        </w:rPr>
        <w:t>同时甲方有权将乙方违反本协议的情况</w:t>
      </w:r>
      <w:r>
        <w:rPr>
          <w:sz w:val="21"/>
        </w:rPr>
        <w:t>呈报上级主管部门</w:t>
      </w:r>
      <w:r>
        <w:rPr>
          <w:sz w:val="21"/>
        </w:rPr>
        <w:t>。</w:t>
      </w:r>
      <w:r>
        <w:rPr>
          <w:sz w:val="21"/>
        </w:rPr>
        <w:t>乙方在项目实施中贿赂甲方工作人员，被纪检监察或司法机关查处的，甲方有权终止</w:t>
      </w:r>
      <w:r>
        <w:rPr>
          <w:sz w:val="21"/>
        </w:rPr>
        <w:t>本</w:t>
      </w:r>
      <w:r>
        <w:rPr>
          <w:sz w:val="21"/>
        </w:rPr>
        <w:t>项目合同，由此给甲方造成的损失以及发生的一切费用均由乙方承担</w:t>
      </w:r>
      <w:r>
        <w:rPr>
          <w:sz w:val="21"/>
        </w:rPr>
        <w:t>，并向甲方承担经济赔偿责任。</w:t>
      </w:r>
    </w:p>
    <w:p>
      <w:pPr>
        <w:ind w:firstLine="420"/>
        <w:jc w:val="both"/>
      </w:pPr>
      <w:r>
        <w:rPr>
          <w:sz w:val="21"/>
        </w:rPr>
        <w:t>十三、本廉洁协议是</w:t>
      </w:r>
      <w:r>
        <w:rPr>
          <w:sz w:val="21"/>
          <w:u w:val="single"/>
        </w:rPr>
        <w:t>2023</w:t>
      </w:r>
      <w:r>
        <w:rPr>
          <w:sz w:val="21"/>
          <w:u w:val="single"/>
        </w:rPr>
        <w:t>年尖峰岭、环山岭、雅居乐西侧山体公园综合维护管理服务项目</w:t>
      </w:r>
      <w:r>
        <w:rPr>
          <w:sz w:val="21"/>
        </w:rPr>
        <w:t>承发包中甲乙双方的行为规范，应共同遵守，做好项目管理和廉政建设，双方签署后协议立即生效，在项目通过验收并经考核单位考核后自动终止。</w:t>
      </w:r>
    </w:p>
    <w:p>
      <w:pPr>
        <w:ind w:firstLine="420"/>
        <w:jc w:val="both"/>
      </w:pPr>
      <w:r>
        <w:rPr>
          <w:sz w:val="21"/>
        </w:rPr>
        <w:t>十四、本协议一式六份，</w:t>
      </w:r>
      <w:r>
        <w:rPr>
          <w:sz w:val="21"/>
        </w:rPr>
        <w:t>具有同等法律效力，</w:t>
      </w:r>
      <w:r>
        <w:rPr>
          <w:sz w:val="21"/>
        </w:rPr>
        <w:t>甲方执三份，乙方执三份。</w:t>
      </w:r>
    </w:p>
    <w:p>
      <w:pPr>
        <w:ind w:firstLine="420"/>
        <w:jc w:val="both"/>
      </w:pPr>
      <w:r>
        <w:rPr>
          <w:sz w:val="21"/>
        </w:rPr>
        <w:t>（以下无正文）</w:t>
      </w:r>
    </w:p>
    <w:p>
      <w:pPr>
        <w:jc w:val="both"/>
      </w:pPr>
    </w:p>
    <w:p>
      <w:pPr>
        <w:jc w:val="both"/>
      </w:pPr>
    </w:p>
    <w:p>
      <w:pPr>
        <w:jc w:val="both"/>
      </w:pPr>
    </w:p>
    <w:p>
      <w:pPr>
        <w:jc w:val="both"/>
      </w:pPr>
      <w:r>
        <w:rPr>
          <w:sz w:val="21"/>
        </w:rPr>
        <w:t>甲方（盖章）：</w:t>
      </w:r>
      <w:r>
        <w:rPr>
          <w:sz w:val="21"/>
        </w:rPr>
        <w:t xml:space="preserve">                        </w:t>
      </w:r>
      <w:r>
        <w:rPr>
          <w:sz w:val="21"/>
        </w:rPr>
        <w:t>乙方（盖章）：</w:t>
      </w:r>
    </w:p>
    <w:p>
      <w:pPr>
        <w:jc w:val="both"/>
      </w:pPr>
      <w:r>
        <w:rPr>
          <w:sz w:val="21"/>
        </w:rPr>
        <w:t>法定代表人</w:t>
      </w:r>
      <w:r>
        <w:rPr>
          <w:sz w:val="21"/>
        </w:rPr>
        <w:t>(</w:t>
      </w:r>
      <w:r>
        <w:rPr>
          <w:sz w:val="21"/>
        </w:rPr>
        <w:t>签字或盖章</w:t>
      </w:r>
      <w:r>
        <w:rPr>
          <w:sz w:val="21"/>
        </w:rPr>
        <w:t>)</w:t>
      </w:r>
      <w:r>
        <w:rPr>
          <w:sz w:val="21"/>
        </w:rPr>
        <w:t>：               法定代表人</w:t>
      </w:r>
      <w:r>
        <w:rPr>
          <w:sz w:val="21"/>
        </w:rPr>
        <w:t>(</w:t>
      </w:r>
      <w:r>
        <w:rPr>
          <w:sz w:val="21"/>
        </w:rPr>
        <w:t>签字或盖章</w:t>
      </w:r>
      <w:r>
        <w:rPr>
          <w:sz w:val="21"/>
        </w:rPr>
        <w:t>)</w:t>
      </w:r>
      <w:r>
        <w:rPr>
          <w:sz w:val="21"/>
        </w:rPr>
        <w:t>：</w:t>
      </w:r>
    </w:p>
    <w:p>
      <w:pPr>
        <w:jc w:val="both"/>
      </w:pPr>
      <w:r>
        <w:rPr>
          <w:sz w:val="21"/>
        </w:rPr>
        <w:t>地址：</w:t>
      </w:r>
      <w:r>
        <w:rPr>
          <w:sz w:val="21"/>
        </w:rPr>
        <w:t xml:space="preserve">                               </w:t>
      </w:r>
      <w:r>
        <w:rPr>
          <w:sz w:val="21"/>
        </w:rPr>
        <w:t>地址：</w:t>
      </w:r>
      <w:r>
        <w:rPr>
          <w:sz w:val="21"/>
        </w:rPr>
        <w:t xml:space="preserve">                                                             </w:t>
      </w:r>
    </w:p>
    <w:p>
      <w:pPr>
        <w:jc w:val="both"/>
      </w:pPr>
      <w:r>
        <w:rPr>
          <w:sz w:val="21"/>
        </w:rPr>
        <w:t>电话：</w:t>
      </w:r>
      <w:r>
        <w:rPr>
          <w:sz w:val="21"/>
        </w:rPr>
        <w:t xml:space="preserve">                               </w:t>
      </w:r>
      <w:r>
        <w:rPr>
          <w:sz w:val="21"/>
        </w:rPr>
        <w:t>电话：</w:t>
      </w:r>
    </w:p>
    <w:p>
      <w:pPr>
        <w:jc w:val="both"/>
      </w:pPr>
      <w:r>
        <w:rPr>
          <w:sz w:val="21"/>
        </w:rPr>
        <w:t>传真：</w:t>
      </w:r>
      <w:r>
        <w:rPr>
          <w:sz w:val="21"/>
        </w:rPr>
        <w:t xml:space="preserve">                               </w:t>
      </w:r>
      <w:r>
        <w:rPr>
          <w:sz w:val="21"/>
        </w:rPr>
        <w:t>传真：</w:t>
      </w:r>
    </w:p>
    <w:p>
      <w:pPr>
        <w:jc w:val="both"/>
      </w:pPr>
      <w:r>
        <w:rPr>
          <w:sz w:val="21"/>
        </w:rPr>
        <w:t>签约日期</w:t>
      </w:r>
      <w:r>
        <w:rPr>
          <w:sz w:val="21"/>
        </w:rPr>
        <w:t xml:space="preserve">:      </w:t>
      </w:r>
      <w:r>
        <w:rPr>
          <w:sz w:val="21"/>
        </w:rPr>
        <w:t xml:space="preserve">年    月    日         </w:t>
      </w:r>
      <w:r>
        <w:rPr>
          <w:sz w:val="21"/>
        </w:rPr>
        <w:t xml:space="preserve"> </w:t>
      </w:r>
      <w:r>
        <w:rPr>
          <w:sz w:val="21"/>
        </w:rPr>
        <w:t>签约日期</w:t>
      </w:r>
      <w:r>
        <w:rPr>
          <w:sz w:val="21"/>
        </w:rPr>
        <w:t xml:space="preserve">:      </w:t>
      </w:r>
      <w:r>
        <w:rPr>
          <w:sz w:val="21"/>
        </w:rPr>
        <w:t>年    月    日</w:t>
      </w:r>
    </w:p>
    <w:p>
      <w:pPr>
        <w:jc w:val="both"/>
      </w:pPr>
    </w:p>
    <w:p>
      <w:pPr>
        <w:jc w:val="both"/>
      </w:pPr>
    </w:p>
    <w:p>
      <w:pPr>
        <w:ind w:firstLine="420"/>
        <w:jc w:val="left"/>
      </w:pPr>
    </w:p>
    <w:p>
      <w:pPr>
        <w:jc w:val="both"/>
      </w:pPr>
      <w:r>
        <w:rPr>
          <w:b/>
          <w:sz w:val="21"/>
        </w:rPr>
        <w:t>附件：</w:t>
      </w:r>
    </w:p>
    <w:p>
      <w:pPr>
        <w:jc w:val="center"/>
      </w:pPr>
      <w:r>
        <w:rPr>
          <w:b/>
          <w:sz w:val="21"/>
        </w:rPr>
        <w:t>2023</w:t>
      </w:r>
      <w:r>
        <w:rPr>
          <w:b/>
          <w:sz w:val="21"/>
        </w:rPr>
        <w:t>年尖峰岭、环山岭、雅居乐西侧山体公园综合维护管理服务项目服务清单</w:t>
      </w:r>
    </w:p>
    <w:tbl>
      <w:tblPr>
        <w:tblW w:w="0" w:type="auto"/>
        <w:tblBorders>
          <w:top w:val="none" w:color="000000" w:sz="4"/>
          <w:left w:val="none" w:color="000000" w:sz="4"/>
          <w:bottom w:val="none" w:color="000000" w:sz="4"/>
          <w:right w:val="none" w:color="000000" w:sz="4"/>
          <w:insideH w:val="none"/>
          <w:insideV w:val="none"/>
        </w:tblBorders>
      </w:tblPr>
      <w:tblGrid>
        <w:gridCol w:w="389"/>
        <w:gridCol w:w="403"/>
        <w:gridCol w:w="486"/>
        <w:gridCol w:w="932"/>
        <w:gridCol w:w="542"/>
        <w:gridCol w:w="626"/>
        <w:gridCol w:w="779"/>
        <w:gridCol w:w="779"/>
        <w:gridCol w:w="2852"/>
        <w:gridCol w:w="445"/>
      </w:tblGrid>
      <w:tr>
        <w:tc>
          <w:tcPr>
            <w:tcW w:type="dxa" w:w="389"/>
            <w:tcBorders>
              <w:top w:val="single" w:color="000000" w:sz="4"/>
              <w:left w:val="single" w:color="000000" w:sz="4"/>
              <w:bottom w:val="single" w:color="000000" w:sz="4"/>
              <w:right w:val="single" w:color="000000" w:sz="4"/>
            </w:tcBorders>
            <w:shd w:fill="D7D7D7"/>
            <w:vAlign w:val="top"/>
          </w:tcPr>
          <w:p>
            <w:pPr>
              <w:jc w:val="center"/>
            </w:pPr>
            <w:r>
              <w:rPr>
                <w:b/>
                <w:sz w:val="21"/>
              </w:rPr>
              <w:t>序号</w:t>
            </w:r>
          </w:p>
        </w:tc>
        <w:tc>
          <w:tcPr>
            <w:tcW w:type="dxa" w:w="403"/>
            <w:tcBorders>
              <w:top w:val="single" w:color="000000" w:sz="4"/>
              <w:left w:val="single" w:color="000000" w:sz="4"/>
              <w:bottom w:val="single" w:color="000000" w:sz="4"/>
              <w:right w:val="single" w:color="000000" w:sz="4"/>
            </w:tcBorders>
            <w:shd w:fill="D7D7D7"/>
            <w:vAlign w:val="top"/>
          </w:tcPr>
          <w:p>
            <w:pPr>
              <w:jc w:val="center"/>
            </w:pPr>
            <w:r>
              <w:rPr>
                <w:b/>
                <w:sz w:val="21"/>
              </w:rPr>
              <w:t>公园名称</w:t>
            </w:r>
          </w:p>
        </w:tc>
        <w:tc>
          <w:tcPr>
            <w:tcW w:type="dxa" w:w="486"/>
            <w:tcBorders>
              <w:top w:val="single" w:color="000000" w:sz="4"/>
              <w:left w:val="single" w:color="000000" w:sz="4"/>
              <w:bottom w:val="single" w:color="000000" w:sz="4"/>
              <w:right w:val="single" w:color="000000" w:sz="4"/>
            </w:tcBorders>
            <w:shd w:fill="D7D7D7"/>
            <w:vAlign w:val="top"/>
          </w:tcPr>
          <w:p>
            <w:pPr>
              <w:jc w:val="center"/>
            </w:pPr>
            <w:r>
              <w:rPr>
                <w:b/>
                <w:sz w:val="21"/>
              </w:rPr>
              <w:t>项目</w:t>
            </w:r>
          </w:p>
        </w:tc>
        <w:tc>
          <w:tcPr>
            <w:tcW w:type="dxa" w:w="932"/>
            <w:tcBorders>
              <w:top w:val="single" w:color="000000" w:sz="4"/>
              <w:left w:val="single" w:color="000000" w:sz="4"/>
              <w:bottom w:val="single" w:color="000000" w:sz="4"/>
              <w:right w:val="single" w:color="000000" w:sz="4"/>
            </w:tcBorders>
            <w:shd w:fill="D7D7D7"/>
            <w:vAlign w:val="top"/>
          </w:tcPr>
          <w:p>
            <w:pPr>
              <w:jc w:val="center"/>
            </w:pPr>
            <w:r>
              <w:rPr>
                <w:b/>
                <w:sz w:val="21"/>
              </w:rPr>
              <w:t>数量</w:t>
            </w:r>
          </w:p>
        </w:tc>
        <w:tc>
          <w:tcPr>
            <w:tcW w:type="dxa" w:w="542"/>
            <w:tcBorders>
              <w:top w:val="single" w:color="000000" w:sz="4"/>
              <w:left w:val="single" w:color="000000" w:sz="4"/>
              <w:bottom w:val="single" w:color="000000" w:sz="4"/>
              <w:right w:val="single" w:color="000000" w:sz="4"/>
            </w:tcBorders>
            <w:shd w:fill="D7D7D7"/>
            <w:vAlign w:val="top"/>
          </w:tcPr>
          <w:p>
            <w:pPr>
              <w:jc w:val="center"/>
            </w:pPr>
            <w:r>
              <w:rPr>
                <w:b/>
                <w:sz w:val="21"/>
              </w:rPr>
              <w:t>单价</w:t>
            </w:r>
          </w:p>
        </w:tc>
        <w:tc>
          <w:tcPr>
            <w:tcW w:type="dxa" w:w="626"/>
            <w:tcBorders>
              <w:top w:val="single" w:color="000000" w:sz="4"/>
              <w:left w:val="single" w:color="000000" w:sz="4"/>
              <w:bottom w:val="single" w:color="000000" w:sz="4"/>
              <w:right w:val="single" w:color="000000" w:sz="4"/>
            </w:tcBorders>
            <w:shd w:fill="D7D7D7"/>
            <w:vAlign w:val="top"/>
          </w:tcPr>
          <w:p>
            <w:pPr>
              <w:jc w:val="center"/>
            </w:pPr>
            <w:r>
              <w:rPr>
                <w:b/>
                <w:sz w:val="21"/>
              </w:rPr>
              <w:t>年度费用（元</w:t>
            </w:r>
            <w:r>
              <w:rPr>
                <w:b/>
                <w:sz w:val="21"/>
              </w:rPr>
              <w:t>/</w:t>
            </w:r>
            <w:r>
              <w:rPr>
                <w:b/>
                <w:sz w:val="21"/>
              </w:rPr>
              <w:t>年）</w:t>
            </w:r>
          </w:p>
        </w:tc>
        <w:tc>
          <w:tcPr>
            <w:tcW w:type="dxa" w:w="779"/>
            <w:tcBorders>
              <w:top w:val="single" w:color="000000" w:sz="4"/>
              <w:left w:val="single" w:color="000000" w:sz="4"/>
              <w:bottom w:val="single" w:color="000000" w:sz="4"/>
              <w:right w:val="single" w:color="000000" w:sz="4"/>
            </w:tcBorders>
            <w:shd w:fill="D7D7D7"/>
            <w:vAlign w:val="top"/>
          </w:tcPr>
          <w:p>
            <w:pPr>
              <w:jc w:val="center"/>
            </w:pPr>
            <w:r>
              <w:rPr>
                <w:b/>
                <w:sz w:val="21"/>
              </w:rPr>
              <w:t>服务</w:t>
            </w:r>
          </w:p>
          <w:p>
            <w:pPr>
              <w:jc w:val="center"/>
            </w:pPr>
            <w:r>
              <w:rPr>
                <w:b/>
                <w:sz w:val="21"/>
              </w:rPr>
              <w:t>期限</w:t>
            </w:r>
          </w:p>
        </w:tc>
        <w:tc>
          <w:tcPr>
            <w:tcW w:type="dxa" w:w="779"/>
            <w:tcBorders>
              <w:top w:val="single" w:color="000000" w:sz="4"/>
              <w:left w:val="single" w:color="000000" w:sz="4"/>
              <w:bottom w:val="single" w:color="000000" w:sz="4"/>
              <w:right w:val="single" w:color="000000" w:sz="4"/>
            </w:tcBorders>
            <w:shd w:fill="D7D7D7"/>
            <w:vAlign w:val="top"/>
          </w:tcPr>
          <w:p>
            <w:pPr>
              <w:jc w:val="center"/>
            </w:pPr>
            <w:r>
              <w:rPr>
                <w:b/>
                <w:sz w:val="21"/>
              </w:rPr>
              <w:t>合价（元）</w:t>
            </w:r>
          </w:p>
        </w:tc>
        <w:tc>
          <w:tcPr>
            <w:tcW w:type="dxa" w:w="2852"/>
            <w:tcBorders>
              <w:top w:val="single" w:color="000000" w:sz="4"/>
              <w:left w:val="single" w:color="000000" w:sz="4"/>
              <w:bottom w:val="single" w:color="000000" w:sz="4"/>
              <w:right w:val="single" w:color="000000" w:sz="4"/>
            </w:tcBorders>
            <w:shd w:fill="D7D7D7"/>
            <w:vAlign w:val="top"/>
          </w:tcPr>
          <w:p>
            <w:pPr>
              <w:jc w:val="center"/>
            </w:pPr>
            <w:r>
              <w:rPr>
                <w:b/>
                <w:sz w:val="21"/>
              </w:rPr>
              <w:t>具体内容</w:t>
            </w:r>
          </w:p>
        </w:tc>
        <w:tc>
          <w:tcPr>
            <w:tcW w:type="dxa" w:w="445"/>
            <w:tcBorders>
              <w:top w:val="single" w:color="000000" w:sz="4"/>
              <w:left w:val="single" w:color="000000" w:sz="4"/>
              <w:bottom w:val="single" w:color="000000" w:sz="4"/>
              <w:right w:val="single" w:color="000000" w:sz="4"/>
            </w:tcBorders>
            <w:shd w:fill="D7D7D7"/>
            <w:vAlign w:val="top"/>
          </w:tcPr>
          <w:p>
            <w:pPr>
              <w:jc w:val="center"/>
            </w:pPr>
            <w:r>
              <w:rPr>
                <w:b/>
                <w:sz w:val="21"/>
              </w:rPr>
              <w:t>备注</w:t>
            </w:r>
          </w:p>
        </w:tc>
      </w:tr>
      <w:tr>
        <w:tc>
          <w:tcPr>
            <w:tcW w:type="dxa" w:w="389"/>
            <w:vMerge w:val="restart"/>
            <w:tcBorders>
              <w:top w:val="none" w:color="000000" w:sz="4"/>
              <w:left w:val="single" w:color="000000" w:sz="4"/>
              <w:bottom w:val="single" w:color="000000" w:sz="4"/>
              <w:right w:val="single" w:color="000000" w:sz="4"/>
            </w:tcBorders>
            <w:vAlign w:val="top"/>
          </w:tcPr>
          <w:p>
            <w:pPr>
              <w:jc w:val="both"/>
            </w:pPr>
            <w:r>
              <w:rPr>
                <w:sz w:val="21"/>
              </w:rPr>
              <w:t>1</w:t>
            </w:r>
          </w:p>
        </w:tc>
        <w:tc>
          <w:tcPr>
            <w:tcW w:type="dxa" w:w="403"/>
            <w:vMerge w:val="restart"/>
            <w:tcBorders>
              <w:top w:val="none" w:color="000000" w:sz="4"/>
              <w:left w:val="single" w:color="000000" w:sz="4"/>
              <w:bottom w:val="single" w:color="000000" w:sz="4"/>
              <w:right w:val="single" w:color="000000" w:sz="4"/>
            </w:tcBorders>
            <w:vAlign w:val="top"/>
          </w:tcPr>
          <w:p>
            <w:pPr>
              <w:jc w:val="both"/>
            </w:pPr>
            <w:r>
              <w:rPr>
                <w:sz w:val="21"/>
              </w:rPr>
              <w:t>尖峰岭公园</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日常绿化养护</w:t>
            </w:r>
          </w:p>
        </w:tc>
        <w:tc>
          <w:tcPr>
            <w:tcW w:type="dxa" w:w="932"/>
            <w:tcBorders>
              <w:top w:val="none" w:color="000000" w:sz="4"/>
              <w:left w:val="single" w:color="000000" w:sz="4"/>
              <w:bottom w:val="single" w:color="000000" w:sz="4"/>
              <w:right w:val="single" w:color="000000" w:sz="4"/>
            </w:tcBorders>
            <w:vAlign w:val="top"/>
          </w:tcPr>
          <w:p>
            <w:pPr>
              <w:jc w:val="both"/>
            </w:pPr>
            <w:r>
              <w:rPr>
                <w:sz w:val="21"/>
              </w:rPr>
              <w:t>59376.60</w:t>
            </w:r>
            <w:r>
              <w:rPr>
                <w:sz w:val="21"/>
              </w:rPr>
              <w:t>㎡</w:t>
            </w:r>
          </w:p>
        </w:tc>
        <w:tc>
          <w:tcPr>
            <w:tcW w:type="dxa" w:w="542"/>
            <w:tcBorders>
              <w:top w:val="none" w:color="000000" w:sz="4"/>
              <w:left w:val="single" w:color="000000" w:sz="4"/>
              <w:bottom w:val="single" w:color="000000" w:sz="4"/>
              <w:right w:val="single" w:color="000000" w:sz="4"/>
            </w:tcBorders>
            <w:vAlign w:val="top"/>
          </w:tcPr>
          <w:p>
            <w:pPr>
              <w:jc w:val="both"/>
            </w:pP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vMerge w:val="restart"/>
            <w:tcBorders>
              <w:top w:val="none" w:color="000000" w:sz="4"/>
              <w:left w:val="single" w:color="000000" w:sz="4"/>
              <w:bottom w:val="single" w:color="000000" w:sz="4"/>
              <w:right w:val="single" w:color="000000" w:sz="4"/>
            </w:tcBorders>
            <w:vAlign w:val="top"/>
          </w:tcPr>
          <w:p>
            <w:pPr>
              <w:jc w:val="both"/>
            </w:pPr>
            <w:r>
              <w:rPr>
                <w:sz w:val="21"/>
              </w:rPr>
              <w:t>35</w:t>
            </w:r>
            <w:r>
              <w:rPr>
                <w:sz w:val="21"/>
              </w:rPr>
              <w:t>个月（</w:t>
            </w:r>
            <w:r>
              <w:rPr>
                <w:sz w:val="21"/>
              </w:rPr>
              <w:t>2024</w:t>
            </w:r>
            <w:r>
              <w:rPr>
                <w:sz w:val="21"/>
              </w:rPr>
              <w:t>年</w:t>
            </w:r>
            <w:r>
              <w:rPr>
                <w:sz w:val="21"/>
              </w:rPr>
              <w:t>5</w:t>
            </w:r>
            <w:r>
              <w:rPr>
                <w:sz w:val="21"/>
              </w:rPr>
              <w:t>月</w:t>
            </w:r>
            <w:r>
              <w:rPr>
                <w:sz w:val="21"/>
              </w:rPr>
              <w:t>1</w:t>
            </w:r>
            <w:r>
              <w:rPr>
                <w:sz w:val="21"/>
              </w:rPr>
              <w:t>日</w:t>
            </w:r>
            <w:r>
              <w:rPr>
                <w:sz w:val="21"/>
              </w:rPr>
              <w:t>-2027</w:t>
            </w:r>
            <w:r>
              <w:rPr>
                <w:sz w:val="21"/>
              </w:rPr>
              <w:t>年</w:t>
            </w:r>
            <w:r>
              <w:rPr>
                <w:sz w:val="21"/>
              </w:rPr>
              <w:t>3</w:t>
            </w:r>
            <w:r>
              <w:rPr>
                <w:sz w:val="21"/>
              </w:rPr>
              <w:t>月</w:t>
            </w:r>
            <w:r>
              <w:rPr>
                <w:sz w:val="21"/>
              </w:rPr>
              <w:t>31</w:t>
            </w:r>
            <w:r>
              <w:rPr>
                <w:sz w:val="21"/>
              </w:rPr>
              <w:t>日）</w:t>
            </w: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none" w:color="000000" w:sz="4"/>
              <w:left w:val="single" w:color="000000" w:sz="4"/>
              <w:bottom w:val="single" w:color="000000" w:sz="4"/>
              <w:right w:val="single" w:color="000000" w:sz="4"/>
            </w:tcBorders>
            <w:vAlign w:val="top"/>
          </w:tcPr>
          <w:p>
            <w:pPr>
              <w:jc w:val="both"/>
            </w:pPr>
            <w:r>
              <w:rPr>
                <w:sz w:val="21"/>
              </w:rPr>
              <w:t>公园现日常绿化养护面积约</w:t>
            </w:r>
            <w:r>
              <w:rPr>
                <w:sz w:val="21"/>
              </w:rPr>
              <w:t>57726.60</w:t>
            </w:r>
            <w:r>
              <w:rPr>
                <w:sz w:val="21"/>
              </w:rPr>
              <w:t>㎡，预计增加</w:t>
            </w:r>
            <w:r>
              <w:rPr>
                <w:sz w:val="21"/>
              </w:rPr>
              <w:t>1650</w:t>
            </w:r>
            <w:r>
              <w:rPr>
                <w:sz w:val="21"/>
              </w:rPr>
              <w:t>㎡，共计</w:t>
            </w:r>
            <w:r>
              <w:rPr>
                <w:sz w:val="21"/>
              </w:rPr>
              <w:t>59376.60</w:t>
            </w:r>
            <w:r>
              <w:rPr>
                <w:sz w:val="21"/>
              </w:rPr>
              <w:t>㎡。绿化养护标准按照《园林绿地养护管理技术规范》一级养护标准。</w:t>
            </w:r>
          </w:p>
        </w:tc>
        <w:tc>
          <w:tcPr>
            <w:tcW w:type="dxa" w:w="445"/>
            <w:tcBorders>
              <w:top w:val="none" w:color="000000" w:sz="4"/>
              <w:left w:val="single" w:color="000000" w:sz="4"/>
              <w:bottom w:val="single" w:color="000000" w:sz="4"/>
              <w:right w:val="single" w:color="000000" w:sz="4"/>
            </w:tcBorders>
            <w:vAlign w:val="top"/>
          </w:tcPr>
          <w:p>
            <w:pPr>
              <w:jc w:val="both"/>
            </w:pPr>
          </w:p>
        </w:tc>
      </w:tr>
      <w:tr>
        <w:tc>
          <w:tcPr>
            <w:tcW w:type="dxa" w:w="389"/>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vAlign w:val="top"/>
          </w:tcPr>
          <w:p>
            <w:pPr>
              <w:jc w:val="center"/>
            </w:pPr>
            <w:r>
              <w:rPr>
                <w:sz w:val="21"/>
              </w:rPr>
              <w:t>建筑和硬地保洁</w:t>
            </w:r>
          </w:p>
        </w:tc>
        <w:tc>
          <w:tcPr>
            <w:tcW w:type="dxa" w:w="932"/>
            <w:tcBorders>
              <w:top w:val="none" w:color="000000" w:sz="4"/>
              <w:left w:val="single" w:color="000000" w:sz="4"/>
              <w:bottom w:val="single" w:color="000000" w:sz="4"/>
              <w:right w:val="single" w:color="000000" w:sz="4"/>
            </w:tcBorders>
            <w:vAlign w:val="top"/>
          </w:tcPr>
          <w:p>
            <w:pPr>
              <w:jc w:val="both"/>
            </w:pPr>
            <w:r>
              <w:rPr>
                <w:sz w:val="21"/>
              </w:rPr>
              <w:t>6803.75</w:t>
            </w:r>
            <w:r>
              <w:rPr>
                <w:sz w:val="21"/>
              </w:rPr>
              <w:t>㎡</w:t>
            </w:r>
          </w:p>
        </w:tc>
        <w:tc>
          <w:tcPr>
            <w:tcW w:type="dxa" w:w="542"/>
            <w:tcBorders>
              <w:top w:val="none" w:color="000000" w:sz="4"/>
              <w:left w:val="single" w:color="000000" w:sz="4"/>
              <w:bottom w:val="single" w:color="000000" w:sz="4"/>
              <w:right w:val="single" w:color="000000" w:sz="4"/>
            </w:tcBorders>
            <w:vAlign w:val="top"/>
          </w:tcPr>
          <w:p>
            <w:pPr>
              <w:jc w:val="both"/>
            </w:pP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none" w:color="000000" w:sz="4"/>
              <w:left w:val="single" w:color="000000" w:sz="4"/>
              <w:bottom w:val="single" w:color="000000" w:sz="4"/>
              <w:right w:val="single" w:color="000000" w:sz="4"/>
            </w:tcBorders>
            <w:vAlign w:val="top"/>
          </w:tcPr>
          <w:p>
            <w:pPr>
              <w:jc w:val="both"/>
            </w:pPr>
            <w:r>
              <w:rPr>
                <w:sz w:val="21"/>
              </w:rPr>
              <w:t>公园现建筑及硬地保洁面积约</w:t>
            </w:r>
            <w:r>
              <w:rPr>
                <w:sz w:val="21"/>
              </w:rPr>
              <w:t>6803.75</w:t>
            </w:r>
            <w:r>
              <w:rPr>
                <w:sz w:val="21"/>
              </w:rPr>
              <w:t>㎡，保洁标准按照《广州市环卫作业年度预算指标》</w:t>
            </w:r>
            <w:r>
              <w:rPr>
                <w:sz w:val="21"/>
              </w:rPr>
              <w:t>(2016)</w:t>
            </w:r>
            <w:r>
              <w:rPr>
                <w:sz w:val="21"/>
              </w:rPr>
              <w:t>道路人工清扫保洁，二级道路标准（含保洁工具）。</w:t>
            </w:r>
          </w:p>
        </w:tc>
        <w:tc>
          <w:tcPr>
            <w:tcW w:type="dxa" w:w="445"/>
            <w:tcBorders>
              <w:top w:val="none" w:color="000000" w:sz="4"/>
              <w:left w:val="single" w:color="000000" w:sz="4"/>
              <w:bottom w:val="single" w:color="000000" w:sz="4"/>
              <w:right w:val="single" w:color="000000" w:sz="4"/>
            </w:tcBorders>
            <w:vAlign w:val="top"/>
          </w:tcPr>
          <w:p>
            <w:pPr>
              <w:jc w:val="both"/>
            </w:pPr>
          </w:p>
        </w:tc>
      </w:tr>
      <w:tr>
        <w:tc>
          <w:tcPr>
            <w:tcW w:type="dxa" w:w="389"/>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vAlign w:val="top"/>
          </w:tcPr>
          <w:p>
            <w:pPr>
              <w:jc w:val="center"/>
            </w:pPr>
            <w:r>
              <w:rPr>
                <w:sz w:val="21"/>
              </w:rPr>
              <w:t>公厕保洁</w:t>
            </w:r>
          </w:p>
        </w:tc>
        <w:tc>
          <w:tcPr>
            <w:tcW w:type="dxa" w:w="932"/>
            <w:tcBorders>
              <w:top w:val="none" w:color="000000" w:sz="4"/>
              <w:left w:val="single" w:color="000000" w:sz="4"/>
              <w:bottom w:val="single" w:color="000000" w:sz="4"/>
              <w:right w:val="single" w:color="000000" w:sz="4"/>
            </w:tcBorders>
            <w:vAlign w:val="top"/>
          </w:tcPr>
          <w:p>
            <w:pPr>
              <w:jc w:val="both"/>
            </w:pPr>
            <w:r>
              <w:rPr>
                <w:sz w:val="21"/>
              </w:rPr>
              <w:t>1</w:t>
            </w:r>
            <w:r>
              <w:rPr>
                <w:sz w:val="21"/>
              </w:rPr>
              <w:t>座</w:t>
            </w:r>
          </w:p>
        </w:tc>
        <w:tc>
          <w:tcPr>
            <w:tcW w:type="dxa" w:w="542"/>
            <w:tcBorders>
              <w:top w:val="none" w:color="000000" w:sz="4"/>
              <w:left w:val="single" w:color="000000" w:sz="4"/>
              <w:bottom w:val="single" w:color="000000" w:sz="4"/>
              <w:right w:val="single" w:color="000000" w:sz="4"/>
            </w:tcBorders>
            <w:vAlign w:val="top"/>
          </w:tcPr>
          <w:p>
            <w:pPr>
              <w:jc w:val="both"/>
            </w:pP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none" w:color="000000" w:sz="4"/>
              <w:left w:val="single" w:color="000000" w:sz="4"/>
              <w:bottom w:val="single" w:color="000000" w:sz="4"/>
              <w:right w:val="single" w:color="000000" w:sz="4"/>
            </w:tcBorders>
            <w:vAlign w:val="top"/>
          </w:tcPr>
          <w:p>
            <w:pPr>
              <w:jc w:val="both"/>
            </w:pPr>
            <w:r>
              <w:rPr>
                <w:sz w:val="21"/>
              </w:rPr>
              <w:t>公园现有公厕</w:t>
            </w:r>
            <w:r>
              <w:rPr>
                <w:sz w:val="21"/>
              </w:rPr>
              <w:t>1</w:t>
            </w:r>
            <w:r>
              <w:rPr>
                <w:sz w:val="21"/>
              </w:rPr>
              <w:t>座，保洁标准按照《公共厕所建设与管理规范》、《广州市黄埔区公共厕所保洁作业规范和保洁质量标准指引》二类公厕二级质量标准。公厕设专人定岗保洁</w:t>
            </w:r>
            <w:r>
              <w:rPr>
                <w:sz w:val="21"/>
              </w:rPr>
              <w:t>,</w:t>
            </w:r>
            <w:r>
              <w:rPr>
                <w:sz w:val="21"/>
              </w:rPr>
              <w:t>保洁时间不低于</w:t>
            </w:r>
            <w:r>
              <w:rPr>
                <w:sz w:val="21"/>
              </w:rPr>
              <w:t>14</w:t>
            </w:r>
            <w:r>
              <w:rPr>
                <w:sz w:val="21"/>
              </w:rPr>
              <w:t>小时，具体结合公园实际情况确定。</w:t>
            </w:r>
          </w:p>
        </w:tc>
        <w:tc>
          <w:tcPr>
            <w:tcW w:type="dxa" w:w="445"/>
            <w:tcBorders>
              <w:top w:val="none" w:color="000000" w:sz="4"/>
              <w:left w:val="single" w:color="000000" w:sz="4"/>
              <w:bottom w:val="single" w:color="000000" w:sz="4"/>
              <w:right w:val="single" w:color="000000" w:sz="4"/>
            </w:tcBorders>
            <w:vAlign w:val="top"/>
          </w:tcPr>
          <w:p>
            <w:pPr>
              <w:jc w:val="both"/>
            </w:pPr>
          </w:p>
        </w:tc>
      </w:tr>
      <w:tr>
        <w:tc>
          <w:tcPr>
            <w:tcW w:type="dxa" w:w="389"/>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vAlign w:val="top"/>
          </w:tcPr>
          <w:p>
            <w:pPr>
              <w:jc w:val="center"/>
            </w:pPr>
            <w:r>
              <w:rPr>
                <w:sz w:val="21"/>
              </w:rPr>
              <w:t>垃圾清运</w:t>
            </w:r>
          </w:p>
        </w:tc>
        <w:tc>
          <w:tcPr>
            <w:tcW w:type="dxa" w:w="932"/>
            <w:tcBorders>
              <w:top w:val="none" w:color="000000" w:sz="4"/>
              <w:left w:val="single" w:color="000000" w:sz="4"/>
              <w:bottom w:val="single" w:color="000000" w:sz="4"/>
              <w:right w:val="single" w:color="000000" w:sz="4"/>
            </w:tcBorders>
            <w:vAlign w:val="top"/>
          </w:tcPr>
          <w:p>
            <w:pPr>
              <w:jc w:val="both"/>
            </w:pPr>
            <w:r>
              <w:rPr>
                <w:sz w:val="21"/>
              </w:rPr>
              <w:t>7</w:t>
            </w:r>
            <w:r>
              <w:rPr>
                <w:sz w:val="21"/>
              </w:rPr>
              <w:t>桶</w:t>
            </w:r>
            <w:r>
              <w:rPr>
                <w:sz w:val="21"/>
              </w:rPr>
              <w:t>/</w:t>
            </w:r>
            <w:r>
              <w:rPr>
                <w:sz w:val="21"/>
              </w:rPr>
              <w:t>天</w:t>
            </w:r>
          </w:p>
        </w:tc>
        <w:tc>
          <w:tcPr>
            <w:tcW w:type="dxa" w:w="542"/>
            <w:tcBorders>
              <w:top w:val="none" w:color="000000" w:sz="4"/>
              <w:left w:val="single" w:color="000000" w:sz="4"/>
              <w:bottom w:val="single" w:color="000000" w:sz="4"/>
              <w:right w:val="single" w:color="000000" w:sz="4"/>
            </w:tcBorders>
            <w:vAlign w:val="top"/>
          </w:tcPr>
          <w:p>
            <w:pPr>
              <w:jc w:val="both"/>
            </w:pP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none" w:color="000000" w:sz="4"/>
              <w:left w:val="single" w:color="000000" w:sz="4"/>
              <w:bottom w:val="single" w:color="000000" w:sz="4"/>
              <w:right w:val="single" w:color="000000" w:sz="4"/>
            </w:tcBorders>
            <w:vAlign w:val="top"/>
          </w:tcPr>
          <w:p>
            <w:pPr>
              <w:jc w:val="both"/>
            </w:pPr>
            <w:r>
              <w:rPr>
                <w:sz w:val="21"/>
              </w:rPr>
              <w:t>园内垃圾日产日清，保障园内无垃圾堆集。计划每天清运</w:t>
            </w:r>
            <w:r>
              <w:rPr>
                <w:sz w:val="21"/>
              </w:rPr>
              <w:t>7</w:t>
            </w:r>
            <w:r>
              <w:rPr>
                <w:sz w:val="21"/>
              </w:rPr>
              <w:t>桶，</w:t>
            </w:r>
            <w:r>
              <w:rPr>
                <w:sz w:val="21"/>
              </w:rPr>
              <w:t>1</w:t>
            </w:r>
            <w:r>
              <w:rPr>
                <w:sz w:val="21"/>
              </w:rPr>
              <w:t>年按</w:t>
            </w:r>
            <w:r>
              <w:rPr>
                <w:sz w:val="21"/>
              </w:rPr>
              <w:t>365</w:t>
            </w:r>
            <w:r>
              <w:rPr>
                <w:sz w:val="21"/>
              </w:rPr>
              <w:t>天计算共清运</w:t>
            </w:r>
            <w:r>
              <w:rPr>
                <w:sz w:val="21"/>
              </w:rPr>
              <w:t>2555</w:t>
            </w:r>
            <w:r>
              <w:rPr>
                <w:sz w:val="21"/>
              </w:rPr>
              <w:t>桶。</w:t>
            </w:r>
          </w:p>
        </w:tc>
        <w:tc>
          <w:tcPr>
            <w:tcW w:type="dxa" w:w="445"/>
            <w:tcBorders>
              <w:top w:val="none" w:color="000000" w:sz="4"/>
              <w:left w:val="single" w:color="000000" w:sz="4"/>
              <w:bottom w:val="single" w:color="000000" w:sz="4"/>
              <w:right w:val="single" w:color="000000" w:sz="4"/>
            </w:tcBorders>
            <w:vAlign w:val="top"/>
          </w:tcPr>
          <w:p>
            <w:pPr>
              <w:jc w:val="both"/>
            </w:pPr>
          </w:p>
        </w:tc>
      </w:tr>
      <w:tr>
        <w:tc>
          <w:tcPr>
            <w:tcW w:type="dxa" w:w="389"/>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vAlign w:val="top"/>
          </w:tcPr>
          <w:p>
            <w:pPr>
              <w:jc w:val="center"/>
            </w:pPr>
            <w:r>
              <w:rPr>
                <w:sz w:val="21"/>
              </w:rPr>
              <w:t>除四害</w:t>
            </w:r>
          </w:p>
        </w:tc>
        <w:tc>
          <w:tcPr>
            <w:tcW w:type="dxa" w:w="932"/>
            <w:tcBorders>
              <w:top w:val="none" w:color="000000" w:sz="4"/>
              <w:left w:val="single" w:color="000000" w:sz="4"/>
              <w:bottom w:val="single" w:color="000000" w:sz="4"/>
              <w:right w:val="single" w:color="000000" w:sz="4"/>
            </w:tcBorders>
            <w:vAlign w:val="top"/>
          </w:tcPr>
          <w:p>
            <w:pPr>
              <w:jc w:val="both"/>
            </w:pPr>
            <w:r>
              <w:rPr>
                <w:sz w:val="21"/>
              </w:rPr>
              <w:t>6453.04</w:t>
            </w:r>
            <w:r>
              <w:rPr>
                <w:sz w:val="21"/>
              </w:rPr>
              <w:t>㎡</w:t>
            </w:r>
          </w:p>
        </w:tc>
        <w:tc>
          <w:tcPr>
            <w:tcW w:type="dxa" w:w="542"/>
            <w:tcBorders>
              <w:top w:val="none" w:color="000000" w:sz="4"/>
              <w:left w:val="single" w:color="000000" w:sz="4"/>
              <w:bottom w:val="single" w:color="000000" w:sz="4"/>
              <w:right w:val="single" w:color="000000" w:sz="4"/>
            </w:tcBorders>
            <w:vAlign w:val="top"/>
          </w:tcPr>
          <w:p>
            <w:pPr>
              <w:jc w:val="both"/>
            </w:pP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none" w:color="000000" w:sz="4"/>
              <w:left w:val="single" w:color="000000" w:sz="4"/>
              <w:bottom w:val="single" w:color="000000" w:sz="4"/>
              <w:right w:val="single" w:color="000000" w:sz="4"/>
            </w:tcBorders>
            <w:vAlign w:val="top"/>
          </w:tcPr>
          <w:p>
            <w:pPr>
              <w:jc w:val="both"/>
            </w:pPr>
            <w:r>
              <w:rPr>
                <w:sz w:val="21"/>
              </w:rPr>
              <w:t>公园除四害消杀面积约</w:t>
            </w:r>
            <w:r>
              <w:rPr>
                <w:sz w:val="21"/>
              </w:rPr>
              <w:t>6453.04</w:t>
            </w:r>
            <w:r>
              <w:rPr>
                <w:sz w:val="21"/>
              </w:rPr>
              <w:t>㎡，全年消杀次数不少于</w:t>
            </w:r>
            <w:r>
              <w:rPr>
                <w:sz w:val="21"/>
              </w:rPr>
              <w:t>40</w:t>
            </w:r>
            <w:r>
              <w:rPr>
                <w:sz w:val="21"/>
              </w:rPr>
              <w:t>次（</w:t>
            </w:r>
            <w:r>
              <w:rPr>
                <w:sz w:val="21"/>
              </w:rPr>
              <w:t>1-3</w:t>
            </w:r>
            <w:r>
              <w:rPr>
                <w:sz w:val="21"/>
              </w:rPr>
              <w:t>月份、</w:t>
            </w:r>
            <w:r>
              <w:rPr>
                <w:sz w:val="21"/>
              </w:rPr>
              <w:t>12</w:t>
            </w:r>
            <w:r>
              <w:rPr>
                <w:sz w:val="21"/>
              </w:rPr>
              <w:t>月份每月消杀不少于</w:t>
            </w:r>
            <w:r>
              <w:rPr>
                <w:sz w:val="21"/>
              </w:rPr>
              <w:t>2</w:t>
            </w:r>
            <w:r>
              <w:rPr>
                <w:sz w:val="21"/>
              </w:rPr>
              <w:t>次，</w:t>
            </w:r>
            <w:r>
              <w:rPr>
                <w:sz w:val="21"/>
              </w:rPr>
              <w:t>4-11</w:t>
            </w:r>
            <w:r>
              <w:rPr>
                <w:sz w:val="21"/>
              </w:rPr>
              <w:t>月份每月消杀不少于</w:t>
            </w:r>
            <w:r>
              <w:rPr>
                <w:sz w:val="21"/>
              </w:rPr>
              <w:t>4</w:t>
            </w:r>
            <w:r>
              <w:rPr>
                <w:sz w:val="21"/>
              </w:rPr>
              <w:t>次）。</w:t>
            </w:r>
          </w:p>
        </w:tc>
        <w:tc>
          <w:tcPr>
            <w:tcW w:type="dxa" w:w="445"/>
            <w:tcBorders>
              <w:top w:val="none" w:color="000000" w:sz="4"/>
              <w:left w:val="single" w:color="000000" w:sz="4"/>
              <w:bottom w:val="single" w:color="000000" w:sz="4"/>
              <w:right w:val="single" w:color="000000" w:sz="4"/>
            </w:tcBorders>
            <w:vAlign w:val="top"/>
          </w:tcPr>
          <w:p>
            <w:pPr>
              <w:jc w:val="both"/>
            </w:pPr>
          </w:p>
        </w:tc>
      </w:tr>
      <w:tr>
        <w:tc>
          <w:tcPr>
            <w:tcW w:type="dxa" w:w="389"/>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vAlign w:val="top"/>
          </w:tcPr>
          <w:p>
            <w:pPr>
              <w:jc w:val="center"/>
            </w:pPr>
            <w:r>
              <w:rPr>
                <w:sz w:val="21"/>
              </w:rPr>
              <w:t>白蚁防治</w:t>
            </w:r>
          </w:p>
        </w:tc>
        <w:tc>
          <w:tcPr>
            <w:tcW w:type="dxa" w:w="932"/>
            <w:tcBorders>
              <w:top w:val="none" w:color="000000" w:sz="4"/>
              <w:left w:val="single" w:color="000000" w:sz="4"/>
              <w:bottom w:val="single" w:color="000000" w:sz="4"/>
              <w:right w:val="single" w:color="000000" w:sz="4"/>
            </w:tcBorders>
            <w:vAlign w:val="top"/>
          </w:tcPr>
          <w:p>
            <w:pPr>
              <w:jc w:val="both"/>
            </w:pPr>
            <w:r>
              <w:rPr>
                <w:sz w:val="21"/>
              </w:rPr>
              <w:t>38718.21</w:t>
            </w:r>
            <w:r>
              <w:rPr>
                <w:sz w:val="21"/>
              </w:rPr>
              <w:t>㎡</w:t>
            </w:r>
          </w:p>
        </w:tc>
        <w:tc>
          <w:tcPr>
            <w:tcW w:type="dxa" w:w="542"/>
            <w:tcBorders>
              <w:top w:val="none" w:color="000000" w:sz="4"/>
              <w:left w:val="single" w:color="000000" w:sz="4"/>
              <w:bottom w:val="single" w:color="000000" w:sz="4"/>
              <w:right w:val="single" w:color="000000" w:sz="4"/>
            </w:tcBorders>
            <w:vAlign w:val="top"/>
          </w:tcPr>
          <w:p>
            <w:pPr>
              <w:jc w:val="both"/>
            </w:pP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none" w:color="000000" w:sz="4"/>
              <w:left w:val="single" w:color="000000" w:sz="4"/>
              <w:bottom w:val="single" w:color="000000" w:sz="4"/>
              <w:right w:val="single" w:color="000000" w:sz="4"/>
            </w:tcBorders>
            <w:vAlign w:val="top"/>
          </w:tcPr>
          <w:p>
            <w:pPr>
              <w:jc w:val="both"/>
            </w:pPr>
            <w:r>
              <w:rPr>
                <w:sz w:val="21"/>
              </w:rPr>
              <w:t>公园日常白蚁防治面积约</w:t>
            </w:r>
            <w:r>
              <w:rPr>
                <w:sz w:val="21"/>
              </w:rPr>
              <w:t>38718.21</w:t>
            </w:r>
            <w:r>
              <w:rPr>
                <w:sz w:val="21"/>
              </w:rPr>
              <w:t>㎡，蚁害巡检及监控防治每周不少于</w:t>
            </w:r>
            <w:r>
              <w:rPr>
                <w:sz w:val="21"/>
              </w:rPr>
              <w:t>1</w:t>
            </w:r>
            <w:r>
              <w:rPr>
                <w:sz w:val="21"/>
              </w:rPr>
              <w:t>次、每月不少于</w:t>
            </w:r>
            <w:r>
              <w:rPr>
                <w:sz w:val="21"/>
              </w:rPr>
              <w:t>4</w:t>
            </w:r>
            <w:r>
              <w:rPr>
                <w:sz w:val="21"/>
              </w:rPr>
              <w:t>次。</w:t>
            </w:r>
          </w:p>
        </w:tc>
        <w:tc>
          <w:tcPr>
            <w:tcW w:type="dxa" w:w="445"/>
            <w:tcBorders>
              <w:top w:val="none" w:color="000000" w:sz="4"/>
              <w:left w:val="single" w:color="000000" w:sz="4"/>
              <w:bottom w:val="single" w:color="000000" w:sz="4"/>
              <w:right w:val="single" w:color="000000" w:sz="4"/>
            </w:tcBorders>
            <w:vAlign w:val="top"/>
          </w:tcPr>
          <w:p>
            <w:pPr>
              <w:jc w:val="both"/>
            </w:pPr>
          </w:p>
        </w:tc>
      </w:tr>
      <w:tr>
        <w:tc>
          <w:tcPr>
            <w:tcW w:type="dxa" w:w="389"/>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1960"/>
            <w:gridSpan w:val="3"/>
            <w:tcBorders>
              <w:top w:val="none" w:color="000000" w:sz="4"/>
              <w:left w:val="single" w:color="000000" w:sz="4"/>
              <w:bottom w:val="single" w:color="000000" w:sz="4"/>
              <w:right w:val="single" w:color="000000" w:sz="4"/>
            </w:tcBorders>
            <w:vAlign w:val="top"/>
          </w:tcPr>
          <w:p>
            <w:pPr>
              <w:jc w:val="center"/>
            </w:pPr>
            <w:r>
              <w:rPr>
                <w:b/>
                <w:sz w:val="21"/>
              </w:rPr>
              <w:t>小</w:t>
            </w:r>
            <w:r>
              <w:rPr>
                <w:b/>
                <w:sz w:val="21"/>
              </w:rPr>
              <w:t xml:space="preserve">  </w:t>
            </w:r>
            <w:r>
              <w:rPr>
                <w:b/>
                <w:sz w:val="21"/>
              </w:rPr>
              <w:t>计</w:t>
            </w: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tcBorders>
              <w:top w:val="none" w:color="000000" w:sz="4"/>
              <w:left w:val="single" w:color="000000" w:sz="4"/>
              <w:bottom w:val="single" w:color="000000" w:sz="4"/>
              <w:right w:val="single" w:color="000000" w:sz="4"/>
            </w:tcBorders>
            <w:vAlign w:val="top"/>
          </w:tcPr>
          <w:p>
            <w:pPr>
              <w:jc w:val="both"/>
            </w:pPr>
            <w:r>
              <w:rPr>
                <w:sz w:val="21"/>
              </w:rPr>
              <w:t>35</w:t>
            </w:r>
            <w:r>
              <w:rPr>
                <w:sz w:val="21"/>
              </w:rPr>
              <w:t>个月</w:t>
            </w: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none" w:color="000000" w:sz="4"/>
              <w:left w:val="single" w:color="000000" w:sz="4"/>
              <w:bottom w:val="single" w:color="000000" w:sz="4"/>
              <w:right w:val="single" w:color="000000" w:sz="4"/>
            </w:tcBorders>
            <w:vAlign w:val="top"/>
          </w:tcPr>
          <w:p>
            <w:pPr>
              <w:jc w:val="center"/>
            </w:pPr>
            <w:r>
              <w:rPr>
                <w:sz w:val="21"/>
              </w:rPr>
              <w:t>***</w:t>
            </w:r>
          </w:p>
        </w:tc>
        <w:tc>
          <w:tcPr>
            <w:tcW w:type="dxa" w:w="445"/>
            <w:tcBorders>
              <w:top w:val="none" w:color="000000" w:sz="4"/>
              <w:left w:val="single" w:color="000000" w:sz="4"/>
              <w:bottom w:val="single" w:color="000000" w:sz="4"/>
              <w:right w:val="single" w:color="000000" w:sz="4"/>
            </w:tcBorders>
            <w:vAlign w:val="top"/>
          </w:tcPr>
          <w:p>
            <w:pPr>
              <w:jc w:val="both"/>
            </w:pPr>
          </w:p>
        </w:tc>
      </w:tr>
      <w:tr>
        <w:tc>
          <w:tcPr>
            <w:tcW w:type="dxa" w:w="389"/>
            <w:vMerge w:val="restart"/>
            <w:tcBorders>
              <w:top w:val="none" w:color="000000" w:sz="4"/>
              <w:left w:val="single" w:color="000000" w:sz="4"/>
              <w:bottom w:val="single" w:color="000000" w:sz="4"/>
              <w:right w:val="single" w:color="000000" w:sz="4"/>
            </w:tcBorders>
            <w:vAlign w:val="top"/>
          </w:tcPr>
          <w:p>
            <w:pPr>
              <w:jc w:val="both"/>
            </w:pPr>
            <w:r>
              <w:rPr>
                <w:sz w:val="21"/>
              </w:rPr>
              <w:t>2</w:t>
            </w:r>
          </w:p>
        </w:tc>
        <w:tc>
          <w:tcPr>
            <w:tcW w:type="dxa" w:w="403"/>
            <w:vMerge w:val="restart"/>
            <w:tcBorders>
              <w:top w:val="none" w:color="000000" w:sz="4"/>
              <w:left w:val="single" w:color="000000" w:sz="4"/>
              <w:bottom w:val="single" w:color="000000" w:sz="4"/>
              <w:right w:val="single" w:color="000000" w:sz="4"/>
            </w:tcBorders>
            <w:vAlign w:val="top"/>
          </w:tcPr>
          <w:p>
            <w:pPr>
              <w:jc w:val="both"/>
            </w:pPr>
            <w:r>
              <w:rPr>
                <w:sz w:val="21"/>
              </w:rPr>
              <w:t>环山岭公园</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日常绿化养护</w:t>
            </w:r>
          </w:p>
        </w:tc>
        <w:tc>
          <w:tcPr>
            <w:tcW w:type="dxa" w:w="932"/>
            <w:tcBorders>
              <w:top w:val="none" w:color="000000" w:sz="4"/>
              <w:left w:val="single" w:color="000000" w:sz="4"/>
              <w:bottom w:val="single" w:color="000000" w:sz="4"/>
              <w:right w:val="single" w:color="000000" w:sz="4"/>
            </w:tcBorders>
            <w:vAlign w:val="top"/>
          </w:tcPr>
          <w:p>
            <w:pPr>
              <w:jc w:val="both"/>
            </w:pPr>
            <w:r>
              <w:rPr>
                <w:sz w:val="21"/>
              </w:rPr>
              <w:t>10594.80</w:t>
            </w:r>
            <w:r>
              <w:rPr>
                <w:sz w:val="21"/>
              </w:rPr>
              <w:t>㎡</w:t>
            </w:r>
          </w:p>
        </w:tc>
        <w:tc>
          <w:tcPr>
            <w:tcW w:type="dxa" w:w="542"/>
            <w:tcBorders>
              <w:top w:val="none" w:color="000000" w:sz="4"/>
              <w:left w:val="single" w:color="000000" w:sz="4"/>
              <w:bottom w:val="single" w:color="000000" w:sz="4"/>
              <w:right w:val="single" w:color="000000" w:sz="4"/>
            </w:tcBorders>
            <w:vAlign w:val="top"/>
          </w:tcPr>
          <w:p>
            <w:pPr>
              <w:jc w:val="both"/>
            </w:pP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vMerge w:val="restart"/>
            <w:tcBorders>
              <w:top w:val="none" w:color="000000" w:sz="4"/>
              <w:left w:val="single" w:color="000000" w:sz="4"/>
              <w:bottom w:val="single" w:color="000000" w:sz="4"/>
              <w:right w:val="single" w:color="000000" w:sz="4"/>
            </w:tcBorders>
            <w:vAlign w:val="top"/>
          </w:tcPr>
          <w:p>
            <w:pPr>
              <w:jc w:val="both"/>
            </w:pPr>
            <w:r>
              <w:rPr>
                <w:sz w:val="21"/>
              </w:rPr>
              <w:t>35</w:t>
            </w:r>
            <w:r>
              <w:rPr>
                <w:sz w:val="21"/>
              </w:rPr>
              <w:t>个月（</w:t>
            </w:r>
            <w:r>
              <w:rPr>
                <w:sz w:val="21"/>
              </w:rPr>
              <w:t>2024</w:t>
            </w:r>
            <w:r>
              <w:rPr>
                <w:sz w:val="21"/>
              </w:rPr>
              <w:t>年</w:t>
            </w:r>
            <w:r>
              <w:rPr>
                <w:sz w:val="21"/>
              </w:rPr>
              <w:t>5</w:t>
            </w:r>
            <w:r>
              <w:rPr>
                <w:sz w:val="21"/>
              </w:rPr>
              <w:t>月</w:t>
            </w:r>
            <w:r>
              <w:rPr>
                <w:sz w:val="21"/>
              </w:rPr>
              <w:t>1</w:t>
            </w:r>
            <w:r>
              <w:rPr>
                <w:sz w:val="21"/>
              </w:rPr>
              <w:t>日</w:t>
            </w:r>
            <w:r>
              <w:rPr>
                <w:sz w:val="21"/>
              </w:rPr>
              <w:t>-2027</w:t>
            </w:r>
            <w:r>
              <w:rPr>
                <w:sz w:val="21"/>
              </w:rPr>
              <w:t>年</w:t>
            </w:r>
            <w:r>
              <w:rPr>
                <w:sz w:val="21"/>
              </w:rPr>
              <w:t>3</w:t>
            </w:r>
            <w:r>
              <w:rPr>
                <w:sz w:val="21"/>
              </w:rPr>
              <w:t>月</w:t>
            </w:r>
            <w:r>
              <w:rPr>
                <w:sz w:val="21"/>
              </w:rPr>
              <w:t>31</w:t>
            </w:r>
            <w:r>
              <w:rPr>
                <w:sz w:val="21"/>
              </w:rPr>
              <w:t>日）</w:t>
            </w: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single" w:color="000000" w:sz="4"/>
              <w:left w:val="single" w:color="000000" w:sz="4"/>
              <w:bottom w:val="single" w:color="000000" w:sz="4"/>
              <w:right w:val="single" w:color="000000" w:sz="4"/>
            </w:tcBorders>
            <w:vAlign w:val="top"/>
          </w:tcPr>
          <w:p>
            <w:pPr>
              <w:jc w:val="both"/>
            </w:pPr>
            <w:r>
              <w:rPr>
                <w:sz w:val="21"/>
              </w:rPr>
              <w:t>公园现日常绿化养护面积约</w:t>
            </w:r>
            <w:r>
              <w:rPr>
                <w:sz w:val="21"/>
              </w:rPr>
              <w:t>9844.80</w:t>
            </w:r>
            <w:r>
              <w:rPr>
                <w:sz w:val="21"/>
              </w:rPr>
              <w:t>㎡，预计增加</w:t>
            </w:r>
            <w:r>
              <w:rPr>
                <w:sz w:val="21"/>
              </w:rPr>
              <w:t>750</w:t>
            </w:r>
            <w:r>
              <w:rPr>
                <w:sz w:val="21"/>
              </w:rPr>
              <w:t>㎡，共计</w:t>
            </w:r>
            <w:r>
              <w:rPr>
                <w:sz w:val="21"/>
              </w:rPr>
              <w:t>10594.80</w:t>
            </w:r>
            <w:r>
              <w:rPr>
                <w:sz w:val="21"/>
              </w:rPr>
              <w:t>㎡。绿化养护标准按照《园林绿地养护管理技术规范》一级养护标准。</w:t>
            </w:r>
          </w:p>
        </w:tc>
        <w:tc>
          <w:tcPr>
            <w:tcW w:type="dxa" w:w="445"/>
            <w:tcBorders>
              <w:top w:val="single" w:color="000000" w:sz="4"/>
              <w:left w:val="single" w:color="000000" w:sz="4"/>
              <w:bottom w:val="single" w:color="000000" w:sz="4"/>
              <w:right w:val="single" w:color="000000" w:sz="4"/>
            </w:tcBorders>
            <w:vAlign w:val="top"/>
          </w:tcPr>
          <w:p>
            <w:pPr>
              <w:jc w:val="both"/>
            </w:pPr>
          </w:p>
        </w:tc>
      </w:tr>
      <w:tr>
        <w:tc>
          <w:tcPr>
            <w:tcW w:type="dxa" w:w="389"/>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vAlign w:val="top"/>
          </w:tcPr>
          <w:p>
            <w:pPr>
              <w:jc w:val="center"/>
            </w:pPr>
            <w:r>
              <w:rPr>
                <w:sz w:val="21"/>
              </w:rPr>
              <w:t>建筑和硬地保洁</w:t>
            </w:r>
          </w:p>
        </w:tc>
        <w:tc>
          <w:tcPr>
            <w:tcW w:type="dxa" w:w="932"/>
            <w:tcBorders>
              <w:top w:val="none" w:color="000000" w:sz="4"/>
              <w:left w:val="single" w:color="000000" w:sz="4"/>
              <w:bottom w:val="single" w:color="000000" w:sz="4"/>
              <w:right w:val="single" w:color="000000" w:sz="4"/>
            </w:tcBorders>
            <w:vAlign w:val="top"/>
          </w:tcPr>
          <w:p>
            <w:pPr>
              <w:jc w:val="both"/>
            </w:pPr>
            <w:r>
              <w:rPr>
                <w:sz w:val="21"/>
              </w:rPr>
              <w:t>2510.60</w:t>
            </w:r>
            <w:r>
              <w:rPr>
                <w:sz w:val="21"/>
              </w:rPr>
              <w:t>㎡</w:t>
            </w:r>
          </w:p>
        </w:tc>
        <w:tc>
          <w:tcPr>
            <w:tcW w:type="dxa" w:w="542"/>
            <w:tcBorders>
              <w:top w:val="none" w:color="000000" w:sz="4"/>
              <w:left w:val="single" w:color="000000" w:sz="4"/>
              <w:bottom w:val="single" w:color="000000" w:sz="4"/>
              <w:right w:val="single" w:color="000000" w:sz="4"/>
            </w:tcBorders>
            <w:vAlign w:val="top"/>
          </w:tcPr>
          <w:p>
            <w:pPr>
              <w:jc w:val="both"/>
            </w:pP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none" w:color="000000" w:sz="4"/>
              <w:left w:val="single" w:color="000000" w:sz="4"/>
              <w:bottom w:val="single" w:color="000000" w:sz="4"/>
              <w:right w:val="single" w:color="000000" w:sz="4"/>
            </w:tcBorders>
            <w:vAlign w:val="top"/>
          </w:tcPr>
          <w:p>
            <w:pPr>
              <w:jc w:val="both"/>
            </w:pPr>
            <w:r>
              <w:rPr>
                <w:sz w:val="21"/>
              </w:rPr>
              <w:t>公园现建筑及硬地保洁面积约</w:t>
            </w:r>
            <w:r>
              <w:rPr>
                <w:sz w:val="21"/>
              </w:rPr>
              <w:t>2010.60</w:t>
            </w:r>
            <w:r>
              <w:rPr>
                <w:sz w:val="21"/>
              </w:rPr>
              <w:t>㎡，预计增加</w:t>
            </w:r>
            <w:r>
              <w:rPr>
                <w:sz w:val="21"/>
              </w:rPr>
              <w:t>500</w:t>
            </w:r>
            <w:r>
              <w:rPr>
                <w:sz w:val="21"/>
              </w:rPr>
              <w:t>㎡，共计</w:t>
            </w:r>
            <w:r>
              <w:rPr>
                <w:sz w:val="21"/>
              </w:rPr>
              <w:t>2510.60</w:t>
            </w:r>
            <w:r>
              <w:rPr>
                <w:sz w:val="21"/>
              </w:rPr>
              <w:t>㎡。保洁标准按照《广州市环卫作业年度预算指标》</w:t>
            </w:r>
            <w:r>
              <w:rPr>
                <w:sz w:val="21"/>
              </w:rPr>
              <w:t>(2016)</w:t>
            </w:r>
            <w:r>
              <w:rPr>
                <w:sz w:val="21"/>
              </w:rPr>
              <w:t>道路人工清扫保洁，二级道路标准（含保洁工具）。</w:t>
            </w:r>
          </w:p>
        </w:tc>
        <w:tc>
          <w:tcPr>
            <w:tcW w:type="dxa" w:w="445"/>
            <w:tcBorders>
              <w:top w:val="none" w:color="000000" w:sz="4"/>
              <w:left w:val="single" w:color="000000" w:sz="4"/>
              <w:bottom w:val="single" w:color="000000" w:sz="4"/>
              <w:right w:val="single" w:color="000000" w:sz="4"/>
            </w:tcBorders>
            <w:vAlign w:val="top"/>
          </w:tcPr>
          <w:p>
            <w:pPr>
              <w:jc w:val="both"/>
            </w:pPr>
          </w:p>
        </w:tc>
      </w:tr>
      <w:tr>
        <w:tc>
          <w:tcPr>
            <w:tcW w:type="dxa" w:w="389"/>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vAlign w:val="top"/>
          </w:tcPr>
          <w:p>
            <w:pPr>
              <w:jc w:val="center"/>
            </w:pPr>
            <w:r>
              <w:rPr>
                <w:sz w:val="21"/>
              </w:rPr>
              <w:t>垃圾清运</w:t>
            </w:r>
          </w:p>
        </w:tc>
        <w:tc>
          <w:tcPr>
            <w:tcW w:type="dxa" w:w="932"/>
            <w:tcBorders>
              <w:top w:val="none" w:color="000000" w:sz="4"/>
              <w:left w:val="single" w:color="000000" w:sz="4"/>
              <w:bottom w:val="single" w:color="000000" w:sz="4"/>
              <w:right w:val="single" w:color="000000" w:sz="4"/>
            </w:tcBorders>
            <w:vAlign w:val="top"/>
          </w:tcPr>
          <w:p>
            <w:pPr>
              <w:jc w:val="both"/>
            </w:pPr>
            <w:r>
              <w:rPr>
                <w:sz w:val="21"/>
              </w:rPr>
              <w:t>2</w:t>
            </w:r>
            <w:r>
              <w:rPr>
                <w:sz w:val="21"/>
              </w:rPr>
              <w:t>桶</w:t>
            </w:r>
            <w:r>
              <w:rPr>
                <w:sz w:val="21"/>
              </w:rPr>
              <w:t>/</w:t>
            </w:r>
            <w:r>
              <w:rPr>
                <w:sz w:val="21"/>
              </w:rPr>
              <w:t>天</w:t>
            </w:r>
          </w:p>
        </w:tc>
        <w:tc>
          <w:tcPr>
            <w:tcW w:type="dxa" w:w="542"/>
            <w:tcBorders>
              <w:top w:val="none" w:color="000000" w:sz="4"/>
              <w:left w:val="single" w:color="000000" w:sz="4"/>
              <w:bottom w:val="single" w:color="000000" w:sz="4"/>
              <w:right w:val="single" w:color="000000" w:sz="4"/>
            </w:tcBorders>
            <w:vAlign w:val="top"/>
          </w:tcPr>
          <w:p>
            <w:pPr>
              <w:jc w:val="both"/>
            </w:pP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none" w:color="000000" w:sz="4"/>
              <w:left w:val="single" w:color="000000" w:sz="4"/>
              <w:bottom w:val="single" w:color="000000" w:sz="4"/>
              <w:right w:val="single" w:color="000000" w:sz="4"/>
            </w:tcBorders>
            <w:vAlign w:val="top"/>
          </w:tcPr>
          <w:p>
            <w:pPr>
              <w:jc w:val="both"/>
            </w:pPr>
            <w:r>
              <w:rPr>
                <w:sz w:val="21"/>
              </w:rPr>
              <w:t>园内垃圾日产日清，保障园内无垃圾堆集。计划每天清运</w:t>
            </w:r>
            <w:r>
              <w:rPr>
                <w:sz w:val="21"/>
              </w:rPr>
              <w:t>2</w:t>
            </w:r>
            <w:r>
              <w:rPr>
                <w:sz w:val="21"/>
              </w:rPr>
              <w:t>桶，</w:t>
            </w:r>
            <w:r>
              <w:rPr>
                <w:sz w:val="21"/>
              </w:rPr>
              <w:t>1</w:t>
            </w:r>
            <w:r>
              <w:rPr>
                <w:sz w:val="21"/>
              </w:rPr>
              <w:t>年按</w:t>
            </w:r>
            <w:r>
              <w:rPr>
                <w:sz w:val="21"/>
              </w:rPr>
              <w:t>365</w:t>
            </w:r>
            <w:r>
              <w:rPr>
                <w:sz w:val="21"/>
              </w:rPr>
              <w:t>天计算共清运</w:t>
            </w:r>
            <w:r>
              <w:rPr>
                <w:sz w:val="21"/>
              </w:rPr>
              <w:t>730</w:t>
            </w:r>
            <w:r>
              <w:rPr>
                <w:sz w:val="21"/>
              </w:rPr>
              <w:t>桶。</w:t>
            </w:r>
          </w:p>
        </w:tc>
        <w:tc>
          <w:tcPr>
            <w:tcW w:type="dxa" w:w="445"/>
            <w:tcBorders>
              <w:top w:val="none" w:color="000000" w:sz="4"/>
              <w:left w:val="single" w:color="000000" w:sz="4"/>
              <w:bottom w:val="single" w:color="000000" w:sz="4"/>
              <w:right w:val="single" w:color="000000" w:sz="4"/>
            </w:tcBorders>
            <w:vAlign w:val="top"/>
          </w:tcPr>
          <w:p>
            <w:pPr>
              <w:jc w:val="both"/>
            </w:pPr>
          </w:p>
        </w:tc>
      </w:tr>
      <w:tr>
        <w:tc>
          <w:tcPr>
            <w:tcW w:type="dxa" w:w="389"/>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vAlign w:val="top"/>
          </w:tcPr>
          <w:p>
            <w:pPr>
              <w:jc w:val="center"/>
            </w:pPr>
            <w:r>
              <w:rPr>
                <w:sz w:val="21"/>
              </w:rPr>
              <w:t>除四害</w:t>
            </w:r>
          </w:p>
        </w:tc>
        <w:tc>
          <w:tcPr>
            <w:tcW w:type="dxa" w:w="932"/>
            <w:tcBorders>
              <w:top w:val="none" w:color="000000" w:sz="4"/>
              <w:left w:val="single" w:color="000000" w:sz="4"/>
              <w:bottom w:val="single" w:color="000000" w:sz="4"/>
              <w:right w:val="single" w:color="000000" w:sz="4"/>
            </w:tcBorders>
            <w:vAlign w:val="top"/>
          </w:tcPr>
          <w:p>
            <w:pPr>
              <w:jc w:val="both"/>
            </w:pPr>
            <w:r>
              <w:rPr>
                <w:sz w:val="21"/>
              </w:rPr>
              <w:t>1185.54</w:t>
            </w:r>
            <w:r>
              <w:rPr>
                <w:sz w:val="21"/>
              </w:rPr>
              <w:t>㎡</w:t>
            </w:r>
          </w:p>
        </w:tc>
        <w:tc>
          <w:tcPr>
            <w:tcW w:type="dxa" w:w="542"/>
            <w:tcBorders>
              <w:top w:val="none" w:color="000000" w:sz="4"/>
              <w:left w:val="single" w:color="000000" w:sz="4"/>
              <w:bottom w:val="single" w:color="000000" w:sz="4"/>
              <w:right w:val="single" w:color="000000" w:sz="4"/>
            </w:tcBorders>
            <w:vAlign w:val="top"/>
          </w:tcPr>
          <w:p>
            <w:pPr>
              <w:jc w:val="both"/>
            </w:pP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none" w:color="000000" w:sz="4"/>
              <w:left w:val="single" w:color="000000" w:sz="4"/>
              <w:bottom w:val="single" w:color="000000" w:sz="4"/>
              <w:right w:val="single" w:color="000000" w:sz="4"/>
            </w:tcBorders>
            <w:vAlign w:val="top"/>
          </w:tcPr>
          <w:p>
            <w:pPr>
              <w:jc w:val="both"/>
            </w:pPr>
            <w:r>
              <w:rPr>
                <w:sz w:val="21"/>
              </w:rPr>
              <w:t>公园除四害消杀面积约</w:t>
            </w:r>
            <w:r>
              <w:rPr>
                <w:sz w:val="21"/>
              </w:rPr>
              <w:t>1185.54</w:t>
            </w:r>
            <w:r>
              <w:rPr>
                <w:sz w:val="21"/>
              </w:rPr>
              <w:t>㎡，全年消杀次数不少于</w:t>
            </w:r>
            <w:r>
              <w:rPr>
                <w:sz w:val="21"/>
              </w:rPr>
              <w:t>40</w:t>
            </w:r>
            <w:r>
              <w:rPr>
                <w:sz w:val="21"/>
              </w:rPr>
              <w:t>次（</w:t>
            </w:r>
            <w:r>
              <w:rPr>
                <w:sz w:val="21"/>
              </w:rPr>
              <w:t>1-3</w:t>
            </w:r>
            <w:r>
              <w:rPr>
                <w:sz w:val="21"/>
              </w:rPr>
              <w:t>月份、</w:t>
            </w:r>
            <w:r>
              <w:rPr>
                <w:sz w:val="21"/>
              </w:rPr>
              <w:t>12</w:t>
            </w:r>
            <w:r>
              <w:rPr>
                <w:sz w:val="21"/>
              </w:rPr>
              <w:t>月份每月消杀不少于</w:t>
            </w:r>
            <w:r>
              <w:rPr>
                <w:sz w:val="21"/>
              </w:rPr>
              <w:t>2</w:t>
            </w:r>
            <w:r>
              <w:rPr>
                <w:sz w:val="21"/>
              </w:rPr>
              <w:t>次，</w:t>
            </w:r>
            <w:r>
              <w:rPr>
                <w:sz w:val="21"/>
              </w:rPr>
              <w:t>4-11</w:t>
            </w:r>
            <w:r>
              <w:rPr>
                <w:sz w:val="21"/>
              </w:rPr>
              <w:t>月份每月消杀不少于</w:t>
            </w:r>
            <w:r>
              <w:rPr>
                <w:sz w:val="21"/>
              </w:rPr>
              <w:t>4</w:t>
            </w:r>
            <w:r>
              <w:rPr>
                <w:sz w:val="21"/>
              </w:rPr>
              <w:t>次）。</w:t>
            </w:r>
          </w:p>
        </w:tc>
        <w:tc>
          <w:tcPr>
            <w:tcW w:type="dxa" w:w="445"/>
            <w:tcBorders>
              <w:top w:val="none" w:color="000000" w:sz="4"/>
              <w:left w:val="single" w:color="000000" w:sz="4"/>
              <w:bottom w:val="single" w:color="000000" w:sz="4"/>
              <w:right w:val="single" w:color="000000" w:sz="4"/>
            </w:tcBorders>
            <w:vAlign w:val="top"/>
          </w:tcPr>
          <w:p>
            <w:pPr>
              <w:jc w:val="both"/>
            </w:pPr>
          </w:p>
        </w:tc>
      </w:tr>
      <w:tr>
        <w:tc>
          <w:tcPr>
            <w:tcW w:type="dxa" w:w="389"/>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vAlign w:val="top"/>
          </w:tcPr>
          <w:p>
            <w:pPr>
              <w:jc w:val="center"/>
            </w:pPr>
            <w:r>
              <w:rPr>
                <w:sz w:val="21"/>
              </w:rPr>
              <w:t>白蚁防治</w:t>
            </w:r>
          </w:p>
        </w:tc>
        <w:tc>
          <w:tcPr>
            <w:tcW w:type="dxa" w:w="932"/>
            <w:tcBorders>
              <w:top w:val="none" w:color="000000" w:sz="4"/>
              <w:left w:val="single" w:color="000000" w:sz="4"/>
              <w:bottom w:val="single" w:color="000000" w:sz="4"/>
              <w:right w:val="single" w:color="000000" w:sz="4"/>
            </w:tcBorders>
            <w:vAlign w:val="top"/>
          </w:tcPr>
          <w:p>
            <w:pPr>
              <w:jc w:val="both"/>
            </w:pPr>
            <w:r>
              <w:rPr>
                <w:sz w:val="21"/>
              </w:rPr>
              <w:t>7113.24</w:t>
            </w:r>
            <w:r>
              <w:rPr>
                <w:sz w:val="21"/>
              </w:rPr>
              <w:t>㎡</w:t>
            </w:r>
          </w:p>
        </w:tc>
        <w:tc>
          <w:tcPr>
            <w:tcW w:type="dxa" w:w="542"/>
            <w:tcBorders>
              <w:top w:val="none" w:color="000000" w:sz="4"/>
              <w:left w:val="single" w:color="000000" w:sz="4"/>
              <w:bottom w:val="single" w:color="000000" w:sz="4"/>
              <w:right w:val="single" w:color="000000" w:sz="4"/>
            </w:tcBorders>
            <w:vAlign w:val="top"/>
          </w:tcPr>
          <w:p>
            <w:pPr>
              <w:jc w:val="both"/>
            </w:pP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none" w:color="000000" w:sz="4"/>
              <w:left w:val="single" w:color="000000" w:sz="4"/>
              <w:bottom w:val="single" w:color="000000" w:sz="4"/>
              <w:right w:val="single" w:color="000000" w:sz="4"/>
            </w:tcBorders>
            <w:vAlign w:val="top"/>
          </w:tcPr>
          <w:p>
            <w:pPr>
              <w:jc w:val="both"/>
            </w:pPr>
            <w:r>
              <w:rPr>
                <w:sz w:val="21"/>
              </w:rPr>
              <w:t>公园日常白蚁防治面积约</w:t>
            </w:r>
            <w:r>
              <w:rPr>
                <w:sz w:val="21"/>
              </w:rPr>
              <w:t>7113.24</w:t>
            </w:r>
            <w:r>
              <w:rPr>
                <w:sz w:val="21"/>
              </w:rPr>
              <w:t>㎡，蚁害巡检及监控防治每周不少于</w:t>
            </w:r>
            <w:r>
              <w:rPr>
                <w:sz w:val="21"/>
              </w:rPr>
              <w:t>1</w:t>
            </w:r>
            <w:r>
              <w:rPr>
                <w:sz w:val="21"/>
              </w:rPr>
              <w:t>次、每月不少于</w:t>
            </w:r>
            <w:r>
              <w:rPr>
                <w:sz w:val="21"/>
              </w:rPr>
              <w:t>4</w:t>
            </w:r>
            <w:r>
              <w:rPr>
                <w:sz w:val="21"/>
              </w:rPr>
              <w:t>次。</w:t>
            </w:r>
          </w:p>
        </w:tc>
        <w:tc>
          <w:tcPr>
            <w:tcW w:type="dxa" w:w="445"/>
            <w:tcBorders>
              <w:top w:val="none" w:color="000000" w:sz="4"/>
              <w:left w:val="single" w:color="000000" w:sz="4"/>
              <w:bottom w:val="single" w:color="000000" w:sz="4"/>
              <w:right w:val="single" w:color="000000" w:sz="4"/>
            </w:tcBorders>
            <w:vAlign w:val="top"/>
          </w:tcPr>
          <w:p>
            <w:pPr>
              <w:jc w:val="both"/>
            </w:pPr>
          </w:p>
        </w:tc>
      </w:tr>
      <w:tr>
        <w:tc>
          <w:tcPr>
            <w:tcW w:type="dxa" w:w="389"/>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1960"/>
            <w:gridSpan w:val="3"/>
            <w:tcBorders>
              <w:top w:val="none" w:color="000000" w:sz="4"/>
              <w:left w:val="single" w:color="000000" w:sz="4"/>
              <w:bottom w:val="single" w:color="000000" w:sz="4"/>
              <w:right w:val="single" w:color="000000" w:sz="4"/>
            </w:tcBorders>
            <w:vAlign w:val="top"/>
          </w:tcPr>
          <w:p>
            <w:pPr>
              <w:jc w:val="center"/>
            </w:pPr>
            <w:r>
              <w:rPr>
                <w:b/>
                <w:sz w:val="21"/>
              </w:rPr>
              <w:t>小</w:t>
            </w:r>
            <w:r>
              <w:rPr>
                <w:b/>
                <w:sz w:val="21"/>
              </w:rPr>
              <w:t xml:space="preserve">  </w:t>
            </w:r>
            <w:r>
              <w:rPr>
                <w:b/>
                <w:sz w:val="21"/>
              </w:rPr>
              <w:t>计</w:t>
            </w: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tcBorders>
              <w:top w:val="none" w:color="000000" w:sz="4"/>
              <w:left w:val="single" w:color="000000" w:sz="4"/>
              <w:bottom w:val="single" w:color="000000" w:sz="4"/>
              <w:right w:val="single" w:color="000000" w:sz="4"/>
            </w:tcBorders>
            <w:vAlign w:val="top"/>
          </w:tcPr>
          <w:p>
            <w:pPr>
              <w:jc w:val="both"/>
            </w:pPr>
            <w:r>
              <w:rPr>
                <w:sz w:val="21"/>
              </w:rPr>
              <w:t>35</w:t>
            </w:r>
            <w:r>
              <w:rPr>
                <w:sz w:val="21"/>
              </w:rPr>
              <w:t>个月</w:t>
            </w: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none" w:color="000000" w:sz="4"/>
              <w:left w:val="single" w:color="000000" w:sz="4"/>
              <w:bottom w:val="single" w:color="000000" w:sz="4"/>
              <w:right w:val="single" w:color="000000" w:sz="4"/>
            </w:tcBorders>
            <w:vAlign w:val="top"/>
          </w:tcPr>
          <w:p>
            <w:pPr>
              <w:jc w:val="center"/>
            </w:pPr>
            <w:r>
              <w:rPr>
                <w:sz w:val="21"/>
              </w:rPr>
              <w:t>***</w:t>
            </w:r>
          </w:p>
        </w:tc>
        <w:tc>
          <w:tcPr>
            <w:tcW w:type="dxa" w:w="445"/>
            <w:tcBorders>
              <w:top w:val="none" w:color="000000" w:sz="4"/>
              <w:left w:val="single" w:color="000000" w:sz="4"/>
              <w:bottom w:val="single" w:color="000000" w:sz="4"/>
              <w:right w:val="single" w:color="000000" w:sz="4"/>
            </w:tcBorders>
            <w:vAlign w:val="top"/>
          </w:tcPr>
          <w:p>
            <w:pPr>
              <w:jc w:val="both"/>
            </w:pPr>
          </w:p>
        </w:tc>
      </w:tr>
      <w:tr>
        <w:tc>
          <w:tcPr>
            <w:tcW w:type="dxa" w:w="389"/>
            <w:vMerge w:val="restart"/>
            <w:tcBorders>
              <w:top w:val="none" w:color="000000" w:sz="4"/>
              <w:left w:val="single" w:color="000000" w:sz="4"/>
              <w:bottom w:val="single" w:color="000000" w:sz="4"/>
              <w:right w:val="single" w:color="000000" w:sz="4"/>
            </w:tcBorders>
            <w:vAlign w:val="top"/>
          </w:tcPr>
          <w:p>
            <w:pPr>
              <w:jc w:val="both"/>
            </w:pPr>
            <w:r>
              <w:rPr>
                <w:sz w:val="21"/>
              </w:rPr>
              <w:t>3</w:t>
            </w:r>
          </w:p>
        </w:tc>
        <w:tc>
          <w:tcPr>
            <w:tcW w:type="dxa" w:w="403"/>
            <w:vMerge w:val="restart"/>
            <w:tcBorders>
              <w:top w:val="none" w:color="000000" w:sz="4"/>
              <w:left w:val="single" w:color="000000" w:sz="4"/>
              <w:bottom w:val="single" w:color="000000" w:sz="4"/>
              <w:right w:val="single" w:color="000000" w:sz="4"/>
            </w:tcBorders>
            <w:vAlign w:val="top"/>
          </w:tcPr>
          <w:p>
            <w:pPr>
              <w:jc w:val="both"/>
            </w:pPr>
            <w:r>
              <w:rPr>
                <w:sz w:val="21"/>
              </w:rPr>
              <w:t>雅居乐西侧山体公园</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日常绿化养护</w:t>
            </w:r>
          </w:p>
        </w:tc>
        <w:tc>
          <w:tcPr>
            <w:tcW w:type="dxa" w:w="932"/>
            <w:tcBorders>
              <w:top w:val="none" w:color="000000" w:sz="4"/>
              <w:left w:val="single" w:color="000000" w:sz="4"/>
              <w:bottom w:val="single" w:color="000000" w:sz="4"/>
              <w:right w:val="single" w:color="000000" w:sz="4"/>
            </w:tcBorders>
            <w:vAlign w:val="top"/>
          </w:tcPr>
          <w:p>
            <w:pPr>
              <w:jc w:val="both"/>
            </w:pPr>
            <w:r>
              <w:rPr>
                <w:sz w:val="21"/>
              </w:rPr>
              <w:t>18510</w:t>
            </w:r>
            <w:r>
              <w:rPr>
                <w:sz w:val="21"/>
              </w:rPr>
              <w:t>㎡</w:t>
            </w:r>
          </w:p>
        </w:tc>
        <w:tc>
          <w:tcPr>
            <w:tcW w:type="dxa" w:w="542"/>
            <w:tcBorders>
              <w:top w:val="none" w:color="000000" w:sz="4"/>
              <w:left w:val="single" w:color="000000" w:sz="4"/>
              <w:bottom w:val="single" w:color="000000" w:sz="4"/>
              <w:right w:val="single" w:color="000000" w:sz="4"/>
            </w:tcBorders>
            <w:vAlign w:val="top"/>
          </w:tcPr>
          <w:p>
            <w:pPr>
              <w:jc w:val="both"/>
            </w:pP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vMerge w:val="restart"/>
            <w:tcBorders>
              <w:top w:val="none" w:color="000000" w:sz="4"/>
              <w:left w:val="single" w:color="000000" w:sz="4"/>
              <w:bottom w:val="single" w:color="000000" w:sz="4"/>
              <w:right w:val="single" w:color="000000" w:sz="4"/>
            </w:tcBorders>
            <w:vAlign w:val="top"/>
          </w:tcPr>
          <w:p>
            <w:pPr>
              <w:jc w:val="both"/>
            </w:pPr>
            <w:r>
              <w:rPr>
                <w:sz w:val="21"/>
              </w:rPr>
              <w:t>35</w:t>
            </w:r>
            <w:r>
              <w:rPr>
                <w:sz w:val="21"/>
              </w:rPr>
              <w:t>个月</w:t>
            </w:r>
            <w:r>
              <w:rPr>
                <w:sz w:val="21"/>
              </w:rPr>
              <w:t>26</w:t>
            </w:r>
            <w:r>
              <w:rPr>
                <w:sz w:val="21"/>
              </w:rPr>
              <w:t>天（</w:t>
            </w:r>
            <w:r>
              <w:rPr>
                <w:sz w:val="21"/>
              </w:rPr>
              <w:t>2024</w:t>
            </w:r>
            <w:r>
              <w:rPr>
                <w:sz w:val="21"/>
              </w:rPr>
              <w:t>年</w:t>
            </w:r>
            <w:r>
              <w:rPr>
                <w:sz w:val="21"/>
              </w:rPr>
              <w:t>4</w:t>
            </w:r>
            <w:r>
              <w:rPr>
                <w:sz w:val="21"/>
              </w:rPr>
              <w:t>月</w:t>
            </w:r>
            <w:r>
              <w:rPr>
                <w:sz w:val="21"/>
              </w:rPr>
              <w:t>6</w:t>
            </w:r>
            <w:r>
              <w:rPr>
                <w:sz w:val="21"/>
              </w:rPr>
              <w:t>日</w:t>
            </w:r>
            <w:r>
              <w:rPr>
                <w:sz w:val="21"/>
              </w:rPr>
              <w:t>-2027</w:t>
            </w:r>
            <w:r>
              <w:rPr>
                <w:sz w:val="21"/>
              </w:rPr>
              <w:t>年</w:t>
            </w:r>
            <w:r>
              <w:rPr>
                <w:sz w:val="21"/>
              </w:rPr>
              <w:t>3</w:t>
            </w:r>
            <w:r>
              <w:rPr>
                <w:sz w:val="21"/>
              </w:rPr>
              <w:t>月</w:t>
            </w:r>
            <w:r>
              <w:rPr>
                <w:sz w:val="21"/>
              </w:rPr>
              <w:t>31</w:t>
            </w:r>
            <w:r>
              <w:rPr>
                <w:sz w:val="21"/>
              </w:rPr>
              <w:t>日）</w:t>
            </w: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single" w:color="000000" w:sz="4"/>
              <w:left w:val="single" w:color="000000" w:sz="4"/>
              <w:bottom w:val="single" w:color="000000" w:sz="4"/>
              <w:right w:val="single" w:color="000000" w:sz="4"/>
            </w:tcBorders>
            <w:vAlign w:val="top"/>
          </w:tcPr>
          <w:p>
            <w:pPr>
              <w:jc w:val="both"/>
            </w:pPr>
            <w:r>
              <w:rPr>
                <w:sz w:val="21"/>
              </w:rPr>
              <w:t>公园现日常绿化养护面积约</w:t>
            </w:r>
            <w:r>
              <w:rPr>
                <w:sz w:val="21"/>
              </w:rPr>
              <w:t>17510</w:t>
            </w:r>
            <w:r>
              <w:rPr>
                <w:sz w:val="21"/>
              </w:rPr>
              <w:t>㎡，预计增加</w:t>
            </w:r>
            <w:r>
              <w:rPr>
                <w:sz w:val="21"/>
              </w:rPr>
              <w:t>1000</w:t>
            </w:r>
            <w:r>
              <w:rPr>
                <w:sz w:val="21"/>
              </w:rPr>
              <w:t>㎡，共计</w:t>
            </w:r>
            <w:r>
              <w:rPr>
                <w:sz w:val="21"/>
              </w:rPr>
              <w:t>18510</w:t>
            </w:r>
            <w:r>
              <w:rPr>
                <w:sz w:val="21"/>
              </w:rPr>
              <w:t>㎡。绿化养护标准按照《园林绿地养护管理技术规范》二级养护标准。</w:t>
            </w:r>
          </w:p>
        </w:tc>
        <w:tc>
          <w:tcPr>
            <w:tcW w:type="dxa" w:w="445"/>
            <w:tcBorders>
              <w:top w:val="single" w:color="000000" w:sz="4"/>
              <w:left w:val="single" w:color="000000" w:sz="4"/>
              <w:bottom w:val="single" w:color="000000" w:sz="4"/>
              <w:right w:val="single" w:color="000000" w:sz="4"/>
            </w:tcBorders>
            <w:vAlign w:val="top"/>
          </w:tcPr>
          <w:p>
            <w:pPr>
              <w:jc w:val="both"/>
            </w:pPr>
          </w:p>
        </w:tc>
      </w:tr>
      <w:tr>
        <w:tc>
          <w:tcPr>
            <w:tcW w:type="dxa" w:w="389"/>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vAlign w:val="top"/>
          </w:tcPr>
          <w:p>
            <w:pPr>
              <w:jc w:val="center"/>
            </w:pPr>
            <w:r>
              <w:rPr>
                <w:sz w:val="21"/>
              </w:rPr>
              <w:t>建筑和硬地保洁</w:t>
            </w:r>
          </w:p>
        </w:tc>
        <w:tc>
          <w:tcPr>
            <w:tcW w:type="dxa" w:w="932"/>
            <w:tcBorders>
              <w:top w:val="none" w:color="000000" w:sz="4"/>
              <w:left w:val="single" w:color="000000" w:sz="4"/>
              <w:bottom w:val="single" w:color="000000" w:sz="4"/>
              <w:right w:val="single" w:color="000000" w:sz="4"/>
            </w:tcBorders>
            <w:vAlign w:val="top"/>
          </w:tcPr>
          <w:p>
            <w:pPr>
              <w:jc w:val="both"/>
            </w:pPr>
            <w:r>
              <w:rPr>
                <w:sz w:val="21"/>
              </w:rPr>
              <w:t>7406.12</w:t>
            </w:r>
            <w:r>
              <w:rPr>
                <w:sz w:val="21"/>
              </w:rPr>
              <w:t>㎡</w:t>
            </w:r>
          </w:p>
        </w:tc>
        <w:tc>
          <w:tcPr>
            <w:tcW w:type="dxa" w:w="542"/>
            <w:tcBorders>
              <w:top w:val="none" w:color="000000" w:sz="4"/>
              <w:left w:val="single" w:color="000000" w:sz="4"/>
              <w:bottom w:val="single" w:color="000000" w:sz="4"/>
              <w:right w:val="single" w:color="000000" w:sz="4"/>
            </w:tcBorders>
            <w:vAlign w:val="top"/>
          </w:tcPr>
          <w:p>
            <w:pPr>
              <w:jc w:val="both"/>
            </w:pP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none" w:color="000000" w:sz="4"/>
              <w:left w:val="single" w:color="000000" w:sz="4"/>
              <w:bottom w:val="single" w:color="000000" w:sz="4"/>
              <w:right w:val="single" w:color="000000" w:sz="4"/>
            </w:tcBorders>
            <w:vAlign w:val="top"/>
          </w:tcPr>
          <w:p>
            <w:pPr>
              <w:jc w:val="both"/>
            </w:pPr>
            <w:r>
              <w:rPr>
                <w:sz w:val="21"/>
              </w:rPr>
              <w:t>公园现建筑及硬地保洁面积约</w:t>
            </w:r>
            <w:r>
              <w:rPr>
                <w:sz w:val="21"/>
              </w:rPr>
              <w:t>7406.12</w:t>
            </w:r>
            <w:r>
              <w:rPr>
                <w:sz w:val="21"/>
              </w:rPr>
              <w:t>㎡，保洁标准按照《广州市环卫作业年度预算指标》</w:t>
            </w:r>
            <w:r>
              <w:rPr>
                <w:sz w:val="21"/>
              </w:rPr>
              <w:t>(2016)</w:t>
            </w:r>
            <w:r>
              <w:rPr>
                <w:sz w:val="21"/>
              </w:rPr>
              <w:t>道路人工清扫保洁，二级道路标准（含保洁工具）。</w:t>
            </w:r>
          </w:p>
        </w:tc>
        <w:tc>
          <w:tcPr>
            <w:tcW w:type="dxa" w:w="445"/>
            <w:tcBorders>
              <w:top w:val="none" w:color="000000" w:sz="4"/>
              <w:left w:val="single" w:color="000000" w:sz="4"/>
              <w:bottom w:val="single" w:color="000000" w:sz="4"/>
              <w:right w:val="single" w:color="000000" w:sz="4"/>
            </w:tcBorders>
            <w:vAlign w:val="top"/>
          </w:tcPr>
          <w:p>
            <w:pPr>
              <w:jc w:val="both"/>
            </w:pPr>
          </w:p>
        </w:tc>
      </w:tr>
      <w:tr>
        <w:tc>
          <w:tcPr>
            <w:tcW w:type="dxa" w:w="389"/>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vAlign w:val="top"/>
          </w:tcPr>
          <w:p>
            <w:pPr>
              <w:jc w:val="center"/>
            </w:pPr>
            <w:r>
              <w:rPr>
                <w:sz w:val="21"/>
              </w:rPr>
              <w:t>公厕保洁</w:t>
            </w:r>
          </w:p>
        </w:tc>
        <w:tc>
          <w:tcPr>
            <w:tcW w:type="dxa" w:w="932"/>
            <w:tcBorders>
              <w:top w:val="none" w:color="000000" w:sz="4"/>
              <w:left w:val="single" w:color="000000" w:sz="4"/>
              <w:bottom w:val="single" w:color="000000" w:sz="4"/>
              <w:right w:val="single" w:color="000000" w:sz="4"/>
            </w:tcBorders>
            <w:vAlign w:val="top"/>
          </w:tcPr>
          <w:p>
            <w:pPr>
              <w:jc w:val="both"/>
            </w:pPr>
            <w:r>
              <w:rPr>
                <w:sz w:val="21"/>
              </w:rPr>
              <w:t>2</w:t>
            </w:r>
            <w:r>
              <w:rPr>
                <w:sz w:val="21"/>
              </w:rPr>
              <w:t>座</w:t>
            </w:r>
          </w:p>
        </w:tc>
        <w:tc>
          <w:tcPr>
            <w:tcW w:type="dxa" w:w="542"/>
            <w:tcBorders>
              <w:top w:val="none" w:color="000000" w:sz="4"/>
              <w:left w:val="single" w:color="000000" w:sz="4"/>
              <w:bottom w:val="single" w:color="000000" w:sz="4"/>
              <w:right w:val="single" w:color="000000" w:sz="4"/>
            </w:tcBorders>
            <w:vAlign w:val="top"/>
          </w:tcPr>
          <w:p>
            <w:pPr>
              <w:jc w:val="both"/>
            </w:pP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none" w:color="000000" w:sz="4"/>
              <w:left w:val="single" w:color="000000" w:sz="4"/>
              <w:bottom w:val="single" w:color="000000" w:sz="4"/>
              <w:right w:val="single" w:color="000000" w:sz="4"/>
            </w:tcBorders>
            <w:vAlign w:val="top"/>
          </w:tcPr>
          <w:p>
            <w:pPr>
              <w:jc w:val="both"/>
            </w:pPr>
            <w:r>
              <w:rPr>
                <w:sz w:val="21"/>
              </w:rPr>
              <w:t>公园现有公厕</w:t>
            </w:r>
            <w:r>
              <w:rPr>
                <w:sz w:val="21"/>
              </w:rPr>
              <w:t>2</w:t>
            </w:r>
            <w:r>
              <w:rPr>
                <w:sz w:val="21"/>
              </w:rPr>
              <w:t>座，保洁标准按照《公共厕所建设与管理规范》、《广州市黄埔区公共厕所保洁作业规范和保洁质量标准指引》二类公厕二级质量标准。每座公厕设专人定岗保洁</w:t>
            </w:r>
            <w:r>
              <w:rPr>
                <w:sz w:val="21"/>
              </w:rPr>
              <w:t>,</w:t>
            </w:r>
            <w:r>
              <w:rPr>
                <w:sz w:val="21"/>
              </w:rPr>
              <w:t>保洁时间不低于</w:t>
            </w:r>
            <w:r>
              <w:rPr>
                <w:sz w:val="21"/>
              </w:rPr>
              <w:t>14</w:t>
            </w:r>
            <w:r>
              <w:rPr>
                <w:sz w:val="21"/>
              </w:rPr>
              <w:t>小时，具体结合公园实际情况确定。</w:t>
            </w:r>
          </w:p>
        </w:tc>
        <w:tc>
          <w:tcPr>
            <w:tcW w:type="dxa" w:w="445"/>
            <w:tcBorders>
              <w:top w:val="none" w:color="000000" w:sz="4"/>
              <w:left w:val="single" w:color="000000" w:sz="4"/>
              <w:bottom w:val="single" w:color="000000" w:sz="4"/>
              <w:right w:val="single" w:color="000000" w:sz="4"/>
            </w:tcBorders>
            <w:vAlign w:val="top"/>
          </w:tcPr>
          <w:p>
            <w:pPr>
              <w:jc w:val="both"/>
            </w:pPr>
          </w:p>
        </w:tc>
      </w:tr>
      <w:tr>
        <w:tc>
          <w:tcPr>
            <w:tcW w:type="dxa" w:w="389"/>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vAlign w:val="top"/>
          </w:tcPr>
          <w:p>
            <w:pPr>
              <w:jc w:val="center"/>
            </w:pPr>
            <w:r>
              <w:rPr>
                <w:sz w:val="21"/>
              </w:rPr>
              <w:t>垃圾清运</w:t>
            </w:r>
          </w:p>
        </w:tc>
        <w:tc>
          <w:tcPr>
            <w:tcW w:type="dxa" w:w="932"/>
            <w:tcBorders>
              <w:top w:val="none" w:color="000000" w:sz="4"/>
              <w:left w:val="single" w:color="000000" w:sz="4"/>
              <w:bottom w:val="single" w:color="000000" w:sz="4"/>
              <w:right w:val="single" w:color="000000" w:sz="4"/>
            </w:tcBorders>
            <w:vAlign w:val="top"/>
          </w:tcPr>
          <w:p>
            <w:pPr>
              <w:jc w:val="both"/>
            </w:pPr>
            <w:r>
              <w:rPr>
                <w:sz w:val="21"/>
              </w:rPr>
              <w:t>5</w:t>
            </w:r>
            <w:r>
              <w:rPr>
                <w:sz w:val="21"/>
              </w:rPr>
              <w:t>桶</w:t>
            </w:r>
            <w:r>
              <w:rPr>
                <w:sz w:val="21"/>
              </w:rPr>
              <w:t>/</w:t>
            </w:r>
            <w:r>
              <w:rPr>
                <w:sz w:val="21"/>
              </w:rPr>
              <w:t>天</w:t>
            </w:r>
          </w:p>
        </w:tc>
        <w:tc>
          <w:tcPr>
            <w:tcW w:type="dxa" w:w="542"/>
            <w:tcBorders>
              <w:top w:val="none" w:color="000000" w:sz="4"/>
              <w:left w:val="single" w:color="000000" w:sz="4"/>
              <w:bottom w:val="single" w:color="000000" w:sz="4"/>
              <w:right w:val="single" w:color="000000" w:sz="4"/>
            </w:tcBorders>
            <w:vAlign w:val="top"/>
          </w:tcPr>
          <w:p>
            <w:pPr>
              <w:jc w:val="both"/>
            </w:pP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none" w:color="000000" w:sz="4"/>
              <w:left w:val="single" w:color="000000" w:sz="4"/>
              <w:bottom w:val="single" w:color="000000" w:sz="4"/>
              <w:right w:val="single" w:color="000000" w:sz="4"/>
            </w:tcBorders>
            <w:vAlign w:val="top"/>
          </w:tcPr>
          <w:p>
            <w:pPr>
              <w:jc w:val="both"/>
            </w:pPr>
            <w:r>
              <w:rPr>
                <w:sz w:val="21"/>
              </w:rPr>
              <w:t>园内垃圾日产日清，保障园内无垃圾堆集。计划每天清运</w:t>
            </w:r>
            <w:r>
              <w:rPr>
                <w:sz w:val="21"/>
              </w:rPr>
              <w:t>5</w:t>
            </w:r>
            <w:r>
              <w:rPr>
                <w:sz w:val="21"/>
              </w:rPr>
              <w:t>桶，</w:t>
            </w:r>
            <w:r>
              <w:rPr>
                <w:sz w:val="21"/>
              </w:rPr>
              <w:t>1</w:t>
            </w:r>
            <w:r>
              <w:rPr>
                <w:sz w:val="21"/>
              </w:rPr>
              <w:t>年按</w:t>
            </w:r>
            <w:r>
              <w:rPr>
                <w:sz w:val="21"/>
              </w:rPr>
              <w:t>365</w:t>
            </w:r>
            <w:r>
              <w:rPr>
                <w:sz w:val="21"/>
              </w:rPr>
              <w:t>天计算共清运</w:t>
            </w:r>
            <w:r>
              <w:rPr>
                <w:sz w:val="21"/>
              </w:rPr>
              <w:t>1825</w:t>
            </w:r>
            <w:r>
              <w:rPr>
                <w:sz w:val="21"/>
              </w:rPr>
              <w:t>桶。</w:t>
            </w:r>
          </w:p>
        </w:tc>
        <w:tc>
          <w:tcPr>
            <w:tcW w:type="dxa" w:w="445"/>
            <w:tcBorders>
              <w:top w:val="none" w:color="000000" w:sz="4"/>
              <w:left w:val="single" w:color="000000" w:sz="4"/>
              <w:bottom w:val="single" w:color="000000" w:sz="4"/>
              <w:right w:val="single" w:color="000000" w:sz="4"/>
            </w:tcBorders>
            <w:vAlign w:val="top"/>
          </w:tcPr>
          <w:p>
            <w:pPr>
              <w:jc w:val="both"/>
            </w:pPr>
          </w:p>
        </w:tc>
      </w:tr>
      <w:tr>
        <w:tc>
          <w:tcPr>
            <w:tcW w:type="dxa" w:w="389"/>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vAlign w:val="top"/>
          </w:tcPr>
          <w:p>
            <w:pPr>
              <w:jc w:val="center"/>
            </w:pPr>
            <w:r>
              <w:rPr>
                <w:sz w:val="21"/>
              </w:rPr>
              <w:t>除四害</w:t>
            </w:r>
          </w:p>
        </w:tc>
        <w:tc>
          <w:tcPr>
            <w:tcW w:type="dxa" w:w="932"/>
            <w:tcBorders>
              <w:top w:val="none" w:color="000000" w:sz="4"/>
              <w:left w:val="single" w:color="000000" w:sz="4"/>
              <w:bottom w:val="single" w:color="000000" w:sz="4"/>
              <w:right w:val="single" w:color="000000" w:sz="4"/>
            </w:tcBorders>
            <w:vAlign w:val="top"/>
          </w:tcPr>
          <w:p>
            <w:pPr>
              <w:jc w:val="both"/>
            </w:pPr>
            <w:r>
              <w:rPr>
                <w:sz w:val="21"/>
              </w:rPr>
              <w:t>2500</w:t>
            </w:r>
            <w:r>
              <w:rPr>
                <w:sz w:val="21"/>
              </w:rPr>
              <w:t>㎡</w:t>
            </w:r>
          </w:p>
        </w:tc>
        <w:tc>
          <w:tcPr>
            <w:tcW w:type="dxa" w:w="542"/>
            <w:tcBorders>
              <w:top w:val="none" w:color="000000" w:sz="4"/>
              <w:left w:val="single" w:color="000000" w:sz="4"/>
              <w:bottom w:val="single" w:color="000000" w:sz="4"/>
              <w:right w:val="single" w:color="000000" w:sz="4"/>
            </w:tcBorders>
            <w:vAlign w:val="top"/>
          </w:tcPr>
          <w:p>
            <w:pPr>
              <w:jc w:val="both"/>
            </w:pP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none" w:color="000000" w:sz="4"/>
              <w:left w:val="single" w:color="000000" w:sz="4"/>
              <w:bottom w:val="single" w:color="000000" w:sz="4"/>
              <w:right w:val="single" w:color="000000" w:sz="4"/>
            </w:tcBorders>
            <w:vAlign w:val="top"/>
          </w:tcPr>
          <w:p>
            <w:pPr>
              <w:jc w:val="both"/>
            </w:pPr>
            <w:r>
              <w:rPr>
                <w:sz w:val="21"/>
              </w:rPr>
              <w:t>公园除四害消杀面积约</w:t>
            </w:r>
            <w:r>
              <w:rPr>
                <w:sz w:val="21"/>
              </w:rPr>
              <w:t>2500</w:t>
            </w:r>
            <w:r>
              <w:rPr>
                <w:sz w:val="21"/>
              </w:rPr>
              <w:t>㎡，全年消杀次数不少于</w:t>
            </w:r>
            <w:r>
              <w:rPr>
                <w:sz w:val="21"/>
              </w:rPr>
              <w:t>40</w:t>
            </w:r>
            <w:r>
              <w:rPr>
                <w:sz w:val="21"/>
              </w:rPr>
              <w:t>次（</w:t>
            </w:r>
            <w:r>
              <w:rPr>
                <w:sz w:val="21"/>
              </w:rPr>
              <w:t>1-3</w:t>
            </w:r>
            <w:r>
              <w:rPr>
                <w:sz w:val="21"/>
              </w:rPr>
              <w:t>月份、</w:t>
            </w:r>
            <w:r>
              <w:rPr>
                <w:sz w:val="21"/>
              </w:rPr>
              <w:t>12</w:t>
            </w:r>
            <w:r>
              <w:rPr>
                <w:sz w:val="21"/>
              </w:rPr>
              <w:t>月份每月消杀不少于</w:t>
            </w:r>
            <w:r>
              <w:rPr>
                <w:sz w:val="21"/>
              </w:rPr>
              <w:t>2</w:t>
            </w:r>
            <w:r>
              <w:rPr>
                <w:sz w:val="21"/>
              </w:rPr>
              <w:t>次，</w:t>
            </w:r>
            <w:r>
              <w:rPr>
                <w:sz w:val="21"/>
              </w:rPr>
              <w:t>4-11</w:t>
            </w:r>
            <w:r>
              <w:rPr>
                <w:sz w:val="21"/>
              </w:rPr>
              <w:t>月份每月消杀不少于</w:t>
            </w:r>
            <w:r>
              <w:rPr>
                <w:sz w:val="21"/>
              </w:rPr>
              <w:t>4</w:t>
            </w:r>
            <w:r>
              <w:rPr>
                <w:sz w:val="21"/>
              </w:rPr>
              <w:t>次）。</w:t>
            </w:r>
          </w:p>
        </w:tc>
        <w:tc>
          <w:tcPr>
            <w:tcW w:type="dxa" w:w="445"/>
            <w:tcBorders>
              <w:top w:val="none" w:color="000000" w:sz="4"/>
              <w:left w:val="single" w:color="000000" w:sz="4"/>
              <w:bottom w:val="single" w:color="000000" w:sz="4"/>
              <w:right w:val="single" w:color="000000" w:sz="4"/>
            </w:tcBorders>
            <w:vAlign w:val="top"/>
          </w:tcPr>
          <w:p>
            <w:pPr>
              <w:jc w:val="both"/>
            </w:pPr>
          </w:p>
        </w:tc>
      </w:tr>
      <w:tr>
        <w:tc>
          <w:tcPr>
            <w:tcW w:type="dxa" w:w="389"/>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vAlign w:val="top"/>
          </w:tcPr>
          <w:p>
            <w:pPr>
              <w:jc w:val="center"/>
            </w:pPr>
            <w:r>
              <w:rPr>
                <w:sz w:val="21"/>
              </w:rPr>
              <w:t>白蚁防治</w:t>
            </w:r>
          </w:p>
        </w:tc>
        <w:tc>
          <w:tcPr>
            <w:tcW w:type="dxa" w:w="932"/>
            <w:tcBorders>
              <w:top w:val="none" w:color="000000" w:sz="4"/>
              <w:left w:val="single" w:color="000000" w:sz="4"/>
              <w:bottom w:val="single" w:color="000000" w:sz="4"/>
              <w:right w:val="single" w:color="000000" w:sz="4"/>
            </w:tcBorders>
            <w:vAlign w:val="top"/>
          </w:tcPr>
          <w:p>
            <w:pPr>
              <w:jc w:val="both"/>
            </w:pPr>
            <w:r>
              <w:rPr>
                <w:sz w:val="21"/>
              </w:rPr>
              <w:t>15000</w:t>
            </w:r>
            <w:r>
              <w:rPr>
                <w:sz w:val="21"/>
              </w:rPr>
              <w:t>㎡</w:t>
            </w:r>
          </w:p>
        </w:tc>
        <w:tc>
          <w:tcPr>
            <w:tcW w:type="dxa" w:w="542"/>
            <w:tcBorders>
              <w:top w:val="none" w:color="000000" w:sz="4"/>
              <w:left w:val="single" w:color="000000" w:sz="4"/>
              <w:bottom w:val="single" w:color="000000" w:sz="4"/>
              <w:right w:val="single" w:color="000000" w:sz="4"/>
            </w:tcBorders>
            <w:vAlign w:val="top"/>
          </w:tcPr>
          <w:p>
            <w:pPr>
              <w:jc w:val="both"/>
            </w:pP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none" w:color="000000" w:sz="4"/>
              <w:left w:val="single" w:color="000000" w:sz="4"/>
              <w:bottom w:val="single" w:color="000000" w:sz="4"/>
              <w:right w:val="single" w:color="000000" w:sz="4"/>
            </w:tcBorders>
            <w:vAlign w:val="top"/>
          </w:tcPr>
          <w:p>
            <w:pPr>
              <w:jc w:val="both"/>
            </w:pPr>
            <w:r>
              <w:rPr>
                <w:sz w:val="21"/>
              </w:rPr>
              <w:t>公园日常白蚁防治面积约</w:t>
            </w:r>
            <w:r>
              <w:rPr>
                <w:sz w:val="21"/>
              </w:rPr>
              <w:t>15000</w:t>
            </w:r>
            <w:r>
              <w:rPr>
                <w:sz w:val="21"/>
              </w:rPr>
              <w:t>㎡，蚁害巡检及监控防治每周不少于</w:t>
            </w:r>
            <w:r>
              <w:rPr>
                <w:sz w:val="21"/>
              </w:rPr>
              <w:t>1</w:t>
            </w:r>
            <w:r>
              <w:rPr>
                <w:sz w:val="21"/>
              </w:rPr>
              <w:t>次、每月不少于</w:t>
            </w:r>
            <w:r>
              <w:rPr>
                <w:sz w:val="21"/>
              </w:rPr>
              <w:t>4</w:t>
            </w:r>
            <w:r>
              <w:rPr>
                <w:sz w:val="21"/>
              </w:rPr>
              <w:t>次。</w:t>
            </w:r>
          </w:p>
        </w:tc>
        <w:tc>
          <w:tcPr>
            <w:tcW w:type="dxa" w:w="445"/>
            <w:tcBorders>
              <w:top w:val="none" w:color="000000" w:sz="4"/>
              <w:left w:val="single" w:color="000000" w:sz="4"/>
              <w:bottom w:val="single" w:color="000000" w:sz="4"/>
              <w:right w:val="single" w:color="000000" w:sz="4"/>
            </w:tcBorders>
            <w:vAlign w:val="top"/>
          </w:tcPr>
          <w:p>
            <w:pPr>
              <w:jc w:val="both"/>
            </w:pPr>
          </w:p>
        </w:tc>
      </w:tr>
      <w:tr>
        <w:tc>
          <w:tcPr>
            <w:tcW w:type="dxa" w:w="389"/>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1960"/>
            <w:gridSpan w:val="3"/>
            <w:tcBorders>
              <w:top w:val="none" w:color="000000" w:sz="4"/>
              <w:left w:val="single" w:color="000000" w:sz="4"/>
              <w:bottom w:val="single" w:color="000000" w:sz="4"/>
              <w:right w:val="single" w:color="000000" w:sz="4"/>
            </w:tcBorders>
            <w:vAlign w:val="top"/>
          </w:tcPr>
          <w:p>
            <w:pPr>
              <w:jc w:val="center"/>
            </w:pPr>
            <w:r>
              <w:rPr>
                <w:b/>
                <w:sz w:val="21"/>
              </w:rPr>
              <w:t>小</w:t>
            </w:r>
            <w:r>
              <w:rPr>
                <w:b/>
                <w:sz w:val="21"/>
              </w:rPr>
              <w:t xml:space="preserve">  </w:t>
            </w:r>
            <w:r>
              <w:rPr>
                <w:b/>
                <w:sz w:val="21"/>
              </w:rPr>
              <w:t>计</w:t>
            </w: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tcBorders>
              <w:top w:val="none" w:color="000000" w:sz="4"/>
              <w:left w:val="single" w:color="000000" w:sz="4"/>
              <w:bottom w:val="single" w:color="000000" w:sz="4"/>
              <w:right w:val="single" w:color="000000" w:sz="4"/>
            </w:tcBorders>
            <w:vAlign w:val="top"/>
          </w:tcPr>
          <w:p>
            <w:pPr>
              <w:jc w:val="both"/>
            </w:pPr>
            <w:r>
              <w:rPr>
                <w:sz w:val="21"/>
              </w:rPr>
              <w:t>35</w:t>
            </w:r>
            <w:r>
              <w:rPr>
                <w:sz w:val="21"/>
              </w:rPr>
              <w:t>个月</w:t>
            </w:r>
            <w:r>
              <w:rPr>
                <w:sz w:val="21"/>
              </w:rPr>
              <w:t>26</w:t>
            </w:r>
            <w:r>
              <w:rPr>
                <w:sz w:val="21"/>
              </w:rPr>
              <w:t>天</w:t>
            </w:r>
          </w:p>
        </w:tc>
        <w:tc>
          <w:tcPr>
            <w:tcW w:type="dxa" w:w="779"/>
            <w:tcBorders>
              <w:top w:val="none" w:color="000000" w:sz="4"/>
              <w:left w:val="single" w:color="000000" w:sz="4"/>
              <w:bottom w:val="single" w:color="000000" w:sz="4"/>
              <w:right w:val="single" w:color="000000" w:sz="4"/>
            </w:tcBorders>
            <w:vAlign w:val="top"/>
          </w:tcPr>
          <w:p>
            <w:pPr>
              <w:jc w:val="both"/>
            </w:pPr>
          </w:p>
        </w:tc>
        <w:tc>
          <w:tcPr>
            <w:tcW w:type="dxa" w:w="2852"/>
            <w:tcBorders>
              <w:top w:val="none" w:color="000000" w:sz="4"/>
              <w:left w:val="single" w:color="000000" w:sz="4"/>
              <w:bottom w:val="single" w:color="000000" w:sz="4"/>
              <w:right w:val="single" w:color="000000" w:sz="4"/>
            </w:tcBorders>
            <w:vAlign w:val="top"/>
          </w:tcPr>
          <w:p>
            <w:pPr>
              <w:jc w:val="center"/>
            </w:pPr>
            <w:r>
              <w:rPr>
                <w:sz w:val="21"/>
              </w:rPr>
              <w:t>***</w:t>
            </w:r>
          </w:p>
        </w:tc>
        <w:tc>
          <w:tcPr>
            <w:tcW w:type="dxa" w:w="445"/>
            <w:tcBorders>
              <w:top w:val="none" w:color="000000" w:sz="4"/>
              <w:left w:val="single" w:color="000000" w:sz="4"/>
              <w:bottom w:val="single" w:color="000000" w:sz="4"/>
              <w:right w:val="single" w:color="000000" w:sz="4"/>
            </w:tcBorders>
            <w:vAlign w:val="top"/>
          </w:tcPr>
          <w:p>
            <w:pPr>
              <w:jc w:val="both"/>
            </w:pPr>
          </w:p>
        </w:tc>
      </w:tr>
      <w:tr>
        <w:tc>
          <w:tcPr>
            <w:tcW w:type="dxa" w:w="2752"/>
            <w:gridSpan w:val="5"/>
            <w:tcBorders>
              <w:top w:val="none" w:color="000000" w:sz="4"/>
              <w:left w:val="single" w:color="000000" w:sz="4"/>
              <w:bottom w:val="single" w:color="000000" w:sz="4"/>
              <w:right w:val="single" w:color="000000" w:sz="4"/>
            </w:tcBorders>
            <w:vAlign w:val="top"/>
          </w:tcPr>
          <w:p>
            <w:pPr>
              <w:jc w:val="center"/>
            </w:pPr>
            <w:r>
              <w:rPr>
                <w:b/>
                <w:sz w:val="21"/>
              </w:rPr>
              <w:t>合</w:t>
            </w:r>
            <w:r>
              <w:rPr>
                <w:b/>
                <w:sz w:val="21"/>
              </w:rPr>
              <w:t xml:space="preserve"> </w:t>
            </w:r>
            <w:r>
              <w:rPr>
                <w:b/>
                <w:sz w:val="21"/>
              </w:rPr>
              <w:t>计</w:t>
            </w:r>
          </w:p>
        </w:tc>
        <w:tc>
          <w:tcPr>
            <w:tcW w:type="dxa" w:w="626"/>
            <w:tcBorders>
              <w:top w:val="none" w:color="000000" w:sz="4"/>
              <w:left w:val="single" w:color="000000" w:sz="4"/>
              <w:bottom w:val="single" w:color="000000" w:sz="4"/>
              <w:right w:val="single" w:color="000000" w:sz="4"/>
            </w:tcBorders>
            <w:vAlign w:val="top"/>
          </w:tcPr>
          <w:p>
            <w:pPr>
              <w:jc w:val="both"/>
            </w:pPr>
          </w:p>
        </w:tc>
        <w:tc>
          <w:tcPr>
            <w:tcW w:type="dxa" w:w="77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79"/>
            <w:tcBorders>
              <w:top w:val="none" w:color="000000" w:sz="4"/>
              <w:left w:val="single" w:color="000000" w:sz="4"/>
              <w:bottom w:val="single" w:color="000000" w:sz="4"/>
              <w:right w:val="single" w:color="000000" w:sz="4"/>
            </w:tcBorders>
            <w:vAlign w:val="top"/>
          </w:tcPr>
          <w:p>
            <w:pPr>
              <w:jc w:val="center"/>
            </w:pPr>
          </w:p>
        </w:tc>
        <w:tc>
          <w:tcPr>
            <w:tcW w:type="dxa" w:w="2852"/>
            <w:tcBorders>
              <w:top w:val="none" w:color="000000" w:sz="4"/>
              <w:left w:val="single" w:color="000000" w:sz="4"/>
              <w:bottom w:val="single" w:color="000000" w:sz="4"/>
              <w:right w:val="single" w:color="000000" w:sz="4"/>
            </w:tcBorders>
            <w:vAlign w:val="top"/>
          </w:tcPr>
          <w:p>
            <w:pPr>
              <w:jc w:val="center"/>
            </w:pPr>
            <w:r>
              <w:rPr>
                <w:sz w:val="21"/>
              </w:rPr>
              <w:t>***</w:t>
            </w:r>
          </w:p>
        </w:tc>
        <w:tc>
          <w:tcPr>
            <w:tcW w:type="dxa" w:w="445"/>
            <w:tcBorders>
              <w:top w:val="none" w:color="000000" w:sz="4"/>
              <w:left w:val="single" w:color="000000" w:sz="4"/>
              <w:bottom w:val="single" w:color="000000" w:sz="4"/>
              <w:right w:val="single" w:color="000000" w:sz="4"/>
            </w:tcBorders>
            <w:vAlign w:val="top"/>
          </w:tcPr>
          <w:p>
            <w:pPr>
              <w:jc w:val="both"/>
            </w:pP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440112-2023-06677</w:t>
      </w:r>
    </w:p>
    <w:p>
      <w:pPr>
        <w:jc w:val="center"/>
      </w:pPr>
      <w:r>
        <w:rPr>
          <w:b/>
          <w:sz w:val="24"/>
        </w:rPr>
        <w:t>采购项目编号：</w:t>
      </w:r>
      <w:r>
        <w:rPr>
          <w:b/>
          <w:sz w:val="24"/>
        </w:rPr>
        <w:t>440112-2023-06677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广州市见智咨询有限公司</w:t>
      </w:r>
    </w:p>
    <w:p>
      <w:pPr>
        <w:ind w:firstLine="480"/>
      </w:pPr>
      <w:r>
        <w:rPr/>
        <w:t>你方组织的</w:t>
      </w:r>
      <w:r>
        <w:rPr>
          <w:u w:val="single"/>
        </w:rPr>
        <w:t>“</w:t>
      </w:r>
      <w:r>
        <w:rPr>
          <w:u w:val="single"/>
        </w:rPr>
        <w:t>2023年尖峰岭、环山岭、雅居乐西侧山体公园综合维护管理服务项目</w:t>
      </w:r>
      <w:r>
        <w:rPr>
          <w:u w:val="single"/>
        </w:rPr>
        <w:t>”</w:t>
      </w:r>
      <w:r>
        <w:rPr/>
        <w:t>项目的招标[采购项目编号为：</w:t>
      </w:r>
      <w:r>
        <w:rPr>
          <w:u w:val="single"/>
        </w:rPr>
        <w:t>440112-2023-06677</w:t>
      </w:r>
      <w:r>
        <w:rPr/>
        <w:t>]，我方愿参与投标。</w:t>
      </w:r>
    </w:p>
    <w:p>
      <w:pPr>
        <w:ind w:firstLine="480"/>
      </w:pPr>
      <w:r>
        <w:rPr/>
        <w:t>我方确认收到贵方提供的</w:t>
      </w:r>
      <w:r>
        <w:rPr>
          <w:u w:val="single"/>
        </w:rPr>
        <w:t>“</w:t>
      </w:r>
      <w:r>
        <w:rPr>
          <w:u w:val="single"/>
        </w:rPr>
        <w:t>2023年尖峰岭、环山岭、雅居乐西侧山体公园综合维护管理服务项目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广州市见智咨询有限公司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2023年尖峰岭、环山岭、雅居乐西侧山体公园综合维护管理服务项目</w:t>
      </w:r>
      <w:r>
        <w:rPr/>
        <w:t>”项目采购[采购项目编号为</w:t>
      </w:r>
      <w:r>
        <w:rPr/>
        <w:t>440112-2023-06677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广州开发区绿化和公园管理中心（广州市黄埔区绿化和公园管理中心）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广州市见智咨询有限公司</w:t>
      </w:r>
    </w:p>
    <w:p>
      <w:pPr>
        <w:ind w:firstLine="480"/>
      </w:pPr>
      <w:r>
        <w:rPr/>
        <w:t>如果我方在贵采购代理机构组织的</w:t>
      </w:r>
      <w:r>
        <w:rPr/>
        <w:t>2023年尖峰岭、环山岭、雅居乐西侧山体公园综合维护管理服务项目</w:t>
      </w:r>
      <w:r>
        <w:rPr/>
        <w:t>招标中获中标（采购项目编号：</w:t>
      </w:r>
      <w:r>
        <w:rPr/>
        <w:t>440112-2023-06677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广州市见智咨询有限公司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